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before="800"/>
        <w:jc w:val="center"/>
      </w:pPr>
      <w:r>
        <w:rPr>
          <w:rFonts w:ascii="Arial" w:cs="Arial" w:eastAsia="Arial" w:hAnsi="Arial"/>
          <w:b/>
          <w:bCs/>
          <w:color w:val="1B3A6B"/>
          <w:sz w:val="56"/>
          <w:szCs w:val="56"/>
        </w:rPr>
        <w:t xml:space="preserve">THE WORK TRANSFER FUNCTION</w:t>
      </w:r>
    </w:p>
    <w:p>
      <w:pPr>
        <w:spacing w:after="60" w:before="0"/>
        <w:jc w:val="center"/>
      </w:pPr>
      <w:r>
        <w:rPr>
          <w:rFonts w:ascii="Arial" w:cs="Arial" w:eastAsia="Arial" w:hAnsi="Arial"/>
          <w:i/>
          <w:iCs/>
          <w:color w:val="2E5FA3"/>
          <w:sz w:val="28"/>
          <w:szCs w:val="28"/>
        </w:rPr>
        <w:t xml:space="preserve">A Framework for Mechanical Energy Analysis</w:t>
      </w:r>
    </w:p>
    <w:p>
      <w:pPr>
        <w:spacing w:after="200" w:before="0"/>
        <w:jc w:val="center"/>
      </w:pPr>
      <w:r>
        <w:rPr>
          <w:rFonts w:ascii="Arial" w:cs="Arial" w:eastAsia="Arial" w:hAnsi="Arial"/>
          <w:color w:val="777777"/>
          <w:sz w:val="22"/>
          <w:szCs w:val="22"/>
        </w:rPr>
        <w:t xml:space="preserve">Force • Displacement • Geometry • Conservation</w:t>
      </w:r>
    </w:p>
    <w:p>
      <w:pPr>
        <w:pBdr>
          <w:bottom w:val="single" w:color="2E5FA3" w:sz="6" w:space="1"/>
        </w:pBdr>
        <w:spacing w:after="160" w:before="160"/>
      </w:pPr>
      <w:r>
        <w:t xml:space="preserve"/>
      </w:r>
    </w:p>
    <w:p>
      <w:pPr>
        <w:spacing w:after="60" w:before="60"/>
      </w:pPr>
      <w:r>
        <w:t xml:space="preserve"/>
      </w:r>
    </w:p>
    <w:p>
      <w:pPr>
        <w:pBdr>
          <w:left w:val="single" w:color="2E5FA3" w:sz="16" w:space="8"/>
        </w:pBdr>
        <w:shd w:fill="EEF4FC" w:val="clear"/>
        <w:spacing w:after="160" w:before="160"/>
        <w:ind w:left="560" w:right="560"/>
      </w:pPr>
      <w:r>
        <w:rPr>
          <w:rFonts w:ascii="Arial" w:cs="Arial" w:eastAsia="Arial" w:hAnsi="Arial"/>
          <w:i/>
          <w:iCs/>
          <w:color w:val="1B3A6B"/>
          <w:sz w:val="22"/>
          <w:szCs w:val="22"/>
        </w:rPr>
        <w:t xml:space="preserve">The Work Transfer Function framework was developed over many years of practical mechanical experimentation by the author, who built and tested the mechanisms described in this document by hand. This document was written in collaboration with Claude (Anthropic) in April 2026, based on a conversation in which the author demonstrated the framework through analysis of a planetary gear system and a centripetal force test bed. The ideas are the author’s. The words are Claude’s. The knowledge belongs to anyone who can use it.</w:t>
      </w:r>
    </w:p>
    <w:p>
      <w:pPr>
        <w:spacing w:after="60" w:before="60"/>
      </w:pPr>
      <w:r>
        <w:t xml:space="preserve"/>
      </w:r>
    </w:p>
    <w:p>
      <w:pPr>
        <w:pBdr>
          <w:bottom w:val="single" w:color="2E5FA3" w:sz="6" w:space="1"/>
        </w:pBdr>
        <w:spacing w:after="160" w:before="160"/>
      </w:pPr>
      <w:r>
        <w:t xml:space="preserve"/>
      </w:r>
    </w:p>
    <w:p>
      <w:pPr>
        <w:spacing w:after="60" w:before="60"/>
      </w:pPr>
      <w:r>
        <w:t xml:space="preserve"/>
      </w:r>
    </w:p>
    <w:p>
      <w:pPr>
        <w:pStyle w:val="Heading1"/>
        <w:spacing w:after="140" w:before="400"/>
      </w:pPr>
      <w:r>
        <w:rPr>
          <w:rFonts w:ascii="Arial" w:cs="Arial" w:eastAsia="Arial" w:hAnsi="Arial"/>
          <w:b/>
          <w:bCs/>
          <w:color w:val="1B3A6B"/>
          <w:sz w:val="34"/>
          <w:szCs w:val="34"/>
        </w:rPr>
        <w:t xml:space="preserve">A Way of Seeing</w:t>
      </w:r>
    </w:p>
    <w:p>
      <w:pPr>
        <w:spacing w:after="120" w:before="80"/>
      </w:pPr>
      <w:r>
        <w:rPr>
          <w:rFonts w:ascii="Arial" w:cs="Arial" w:eastAsia="Arial" w:hAnsi="Arial"/>
          <w:color w:val="444444"/>
          <w:sz w:val="22"/>
          <w:szCs w:val="22"/>
        </w:rPr>
        <w:t xml:space="preserve">Before any mathematics. Before any free body diagram. Before any calculation of force or torque or mechanical advantage — there is a way of seeing that either makes all of that work correctly or causes it to fail.</w:t>
      </w:r>
    </w:p>
    <w:p>
      <w:pPr>
        <w:spacing w:after="60" w:before="60"/>
      </w:pPr>
      <w:r>
        <w:t xml:space="preserve"/>
      </w:r>
    </w:p>
    <w:p>
      <w:pPr>
        <w:spacing w:after="120" w:before="80"/>
      </w:pPr>
      <w:r>
        <w:rPr>
          <w:rFonts w:ascii="Arial" w:cs="Arial" w:eastAsia="Arial" w:hAnsi="Arial"/>
          <w:color w:val="444444"/>
          <w:sz w:val="22"/>
          <w:szCs w:val="22"/>
        </w:rPr>
        <w:t xml:space="preserve">Every mechanical interaction that exists in nature is already happening. The forces are already flowing. The geometry is already doing what geometry does. Centripetal acceleration is building in every rotating mass. Reaction forces are propagating through every loaded structure. The path is already chosen — by nature, by the geometry, by the physics.</w:t>
      </w:r>
    </w:p>
    <w:p>
      <w:pPr>
        <w:spacing w:after="60" w:before="60"/>
      </w:pPr>
      <w:r>
        <w:t xml:space="preserve"/>
      </w:r>
    </w:p>
    <w:p>
      <w:pPr>
        <w:spacing w:after="120" w:before="80"/>
      </w:pPr>
      <w:r>
        <w:rPr>
          <w:rFonts w:ascii="Arial" w:cs="Arial" w:eastAsia="Arial" w:hAnsi="Arial"/>
          <w:color w:val="444444"/>
          <w:sz w:val="22"/>
          <w:szCs w:val="22"/>
        </w:rPr>
        <w:t xml:space="preserve">The designer does not create these interactions. The designer reads them. And having read them, the designer chooses:</w:t>
      </w:r>
    </w:p>
    <w:p>
      <w:pPr>
        <w:spacing w:after="60" w:before="60"/>
      </w:pPr>
      <w:r>
        <w:t xml:space="preserve"/>
      </w:r>
    </w:p>
    <w:p>
      <w:pPr>
        <w:pStyle w:val="ListParagraph"/>
        <w:numPr>
          <w:ilvl w:val="0"/>
          <w:numId w:val="2"/>
        </w:numPr>
        <w:spacing w:after="60" w:before="60"/>
      </w:pPr>
      <w:r>
        <w:rPr>
          <w:rFonts w:ascii="Arial" w:cs="Arial" w:eastAsia="Arial" w:hAnsi="Arial"/>
          <w:color w:val="444444"/>
          <w:sz w:val="22"/>
          <w:szCs w:val="22"/>
        </w:rPr>
        <w:t xml:space="preserve">Where to enter the path — the input point</w:t>
      </w:r>
    </w:p>
    <w:p>
      <w:pPr>
        <w:pStyle w:val="ListParagraph"/>
        <w:numPr>
          <w:ilvl w:val="0"/>
          <w:numId w:val="2"/>
        </w:numPr>
        <w:spacing w:after="60" w:before="60"/>
      </w:pPr>
      <w:r>
        <w:rPr>
          <w:rFonts w:ascii="Arial" w:cs="Arial" w:eastAsia="Arial" w:hAnsi="Arial"/>
          <w:color w:val="444444"/>
          <w:sz w:val="22"/>
          <w:szCs w:val="22"/>
        </w:rPr>
        <w:t xml:space="preserve">Where to exit the path — the output point</w:t>
      </w:r>
    </w:p>
    <w:p>
      <w:pPr>
        <w:pStyle w:val="ListParagraph"/>
        <w:numPr>
          <w:ilvl w:val="0"/>
          <w:numId w:val="2"/>
        </w:numPr>
        <w:spacing w:after="60" w:before="60"/>
      </w:pPr>
      <w:r>
        <w:rPr>
          <w:rFonts w:ascii="Arial" w:cs="Arial" w:eastAsia="Arial" w:hAnsi="Arial"/>
          <w:color w:val="444444"/>
          <w:sz w:val="22"/>
          <w:szCs w:val="22"/>
        </w:rPr>
        <w:t xml:space="preserve">How to do both without disturbing what is already flowing</w:t>
      </w:r>
    </w:p>
    <w:p>
      <w:pPr>
        <w:spacing w:after="60" w:before="60"/>
      </w:pPr>
      <w:r>
        <w:t xml:space="preserve"/>
      </w:r>
    </w:p>
    <w:p>
      <w:pPr>
        <w:spacing w:after="120" w:before="80"/>
      </w:pPr>
      <w:r>
        <w:rPr>
          <w:rFonts w:ascii="Arial" w:cs="Arial" w:eastAsia="Arial" w:hAnsi="Arial"/>
          <w:color w:val="444444"/>
          <w:sz w:val="22"/>
          <w:szCs w:val="22"/>
        </w:rPr>
        <w:t xml:space="preserve">The pencil held against a spinning disc is an entry point. Chosen carefully — light, tangential, just enough to initiate. The output shaft where useful work is extracted is the exit point. Chosen carefully — where the geometry has already done the work of accumulating speed and converting force.</w:t>
      </w:r>
    </w:p>
    <w:p>
      <w:pPr>
        <w:spacing w:after="60" w:before="60"/>
      </w:pPr>
      <w:r>
        <w:t xml:space="preserve"/>
      </w:r>
    </w:p>
    <w:p>
      <w:pPr>
        <w:spacing w:after="120" w:before="80"/>
      </w:pPr>
      <w:r>
        <w:rPr>
          <w:rFonts w:ascii="Arial" w:cs="Arial" w:eastAsia="Arial" w:hAnsi="Arial"/>
          <w:color w:val="444444"/>
          <w:sz w:val="22"/>
          <w:szCs w:val="22"/>
        </w:rPr>
        <w:t xml:space="preserve">The mechanism between entry and exit does not fight nature. It does not create energy. It does not violate anything. It is a carefully chosen path through something that was already happening.</w:t>
      </w:r>
    </w:p>
    <w:p>
      <w:pPr>
        <w:spacing w:after="60" w:before="60"/>
      </w:pPr>
      <w:r>
        <w:t xml:space="preserve"/>
      </w:r>
    </w:p>
    <w:p>
      <w:pPr>
        <w:pBdr>
          <w:left w:val="single" w:color="C8730A" w:sz="16" w:space="8"/>
        </w:pBdr>
        <w:shd w:fill="FFF4E8" w:val="clear"/>
        <w:spacing w:after="160" w:before="160"/>
        <w:ind w:left="560" w:right="560"/>
      </w:pPr>
      <w:r>
        <w:rPr>
          <w:rFonts w:ascii="Arial" w:cs="Arial" w:eastAsia="Arial" w:hAnsi="Arial"/>
          <w:b/>
          <w:bCs/>
          <w:i/>
          <w:iCs/>
          <w:color w:val="C8730A"/>
          <w:sz w:val="22"/>
          <w:szCs w:val="22"/>
        </w:rPr>
        <w:t xml:space="preserve">The energy is already there. The geometry is already flowing. Choose your entry and exit points wisely — and nature does the rest.</w:t>
      </w:r>
    </w:p>
    <w:p>
      <w:pPr>
        <w:spacing w:after="60" w:before="60"/>
      </w:pPr>
      <w:r>
        <w:t xml:space="preserve"/>
      </w:r>
    </w:p>
    <w:p>
      <w:pPr>
        <w:spacing w:after="120" w:before="80"/>
      </w:pPr>
      <w:r>
        <w:rPr>
          <w:rFonts w:ascii="Arial" w:cs="Arial" w:eastAsia="Arial" w:hAnsi="Arial"/>
          <w:color w:val="444444"/>
          <w:sz w:val="22"/>
          <w:szCs w:val="22"/>
        </w:rPr>
        <w:t xml:space="preserve">The Work Transfer Function is the mathematical description of that path. But the seeing comes first. Always.</w:t>
      </w:r>
    </w:p>
    <w:p>
      <w:pPr>
        <w:spacing w:after="60" w:before="60"/>
      </w:pPr>
      <w:r>
        <w:t xml:space="preserve"/>
      </w:r>
    </w:p>
    <w:p>
      <w:pPr>
        <w:pBdr>
          <w:bottom w:val="single" w:color="2E5FA3" w:sz="6" w:space="1"/>
        </w:pBdr>
        <w:spacing w:after="160" w:before="160"/>
      </w:pPr>
      <w:r>
        <w:t xml:space="preserve"/>
      </w:r>
    </w:p>
    <w:p>
      <w:pPr>
        <w:pStyle w:val="Heading1"/>
        <w:spacing w:after="140" w:before="400"/>
      </w:pPr>
      <w:r>
        <w:rPr>
          <w:rFonts w:ascii="Arial" w:cs="Arial" w:eastAsia="Arial" w:hAnsi="Arial"/>
          <w:b/>
          <w:bCs/>
          <w:color w:val="1B3A6B"/>
          <w:sz w:val="34"/>
          <w:szCs w:val="34"/>
        </w:rPr>
        <w:t xml:space="preserve">1. The Core Idea</w:t>
      </w:r>
    </w:p>
    <w:p>
      <w:pPr>
        <w:spacing w:after="120" w:before="80"/>
      </w:pPr>
      <w:r>
        <w:rPr>
          <w:rFonts w:ascii="Arial" w:cs="Arial" w:eastAsia="Arial" w:hAnsi="Arial"/>
          <w:color w:val="444444"/>
          <w:sz w:val="22"/>
          <w:szCs w:val="22"/>
        </w:rPr>
        <w:t xml:space="preserve">Classical mechanical analysis tends to treat a system as a chain of causes and effects — an input drives a mechanism, the mechanism transforms the motion, and an output is produced. Forces are traced joint by joint, energy is tracked stage by stage, and the result is checked against conservation.</w:t>
      </w:r>
    </w:p>
    <w:p>
      <w:pPr>
        <w:spacing w:after="60" w:before="60"/>
      </w:pPr>
      <w:r>
        <w:t xml:space="preserve"/>
      </w:r>
    </w:p>
    <w:p>
      <w:pPr>
        <w:spacing w:after="120" w:before="80"/>
      </w:pPr>
      <w:r>
        <w:rPr>
          <w:rFonts w:ascii="Arial" w:cs="Arial" w:eastAsia="Arial" w:hAnsi="Arial"/>
          <w:color w:val="444444"/>
          <w:sz w:val="22"/>
          <w:szCs w:val="22"/>
        </w:rPr>
        <w:t xml:space="preserve">This approach is correct but it carries a hidden assumption: that input and output are independent. In reality, in any ideal mechanism, they are not. The geometry of the system defines a fixed, unbreakable relationship between every point of force application and every point of motion. There are no independent variables once the geometry is set and one boundary condition — typically the load — is defined.</w:t>
      </w:r>
    </w:p>
    <w:p>
      <w:pPr>
        <w:spacing w:after="60" w:before="60"/>
      </w:pPr>
      <w:r>
        <w:t xml:space="preserve"/>
      </w:r>
    </w:p>
    <w:p>
      <w:pPr>
        <w:spacing w:after="120" w:before="80"/>
      </w:pPr>
      <w:r>
        <w:rPr>
          <w:rFonts w:ascii="Arial" w:cs="Arial" w:eastAsia="Arial" w:hAnsi="Arial"/>
          <w:color w:val="444444"/>
          <w:sz w:val="22"/>
          <w:szCs w:val="22"/>
        </w:rPr>
        <w:t xml:space="preserve">The Work Transfer Function is the name for that fixed relationship. It is not a new physical law. It is a way of seeing that a mechanism is not a chain of causes and effects but a single continuous transformation — and that calling one end the input and the other end the output is a choice of perspective, not a physical fact.</w:t>
      </w:r>
    </w:p>
    <w:p>
      <w:pPr>
        <w:spacing w:after="60" w:before="60"/>
      </w:pPr>
      <w:r>
        <w:t xml:space="preserve"/>
      </w:r>
    </w:p>
    <w:p>
      <w:pPr>
        <w:pBdr>
          <w:left w:val="single" w:color="C8730A" w:sz="16" w:space="8"/>
        </w:pBdr>
        <w:shd w:fill="FFF4E8" w:val="clear"/>
        <w:spacing w:after="160" w:before="160"/>
        <w:ind w:left="560" w:right="560"/>
      </w:pPr>
      <w:r>
        <w:rPr>
          <w:rFonts w:ascii="Arial" w:cs="Arial" w:eastAsia="Arial" w:hAnsi="Arial"/>
          <w:b/>
          <w:bCs/>
          <w:i/>
          <w:iCs/>
          <w:color w:val="C8730A"/>
          <w:sz w:val="22"/>
          <w:szCs w:val="22"/>
        </w:rPr>
        <w:t xml:space="preserve">The mechanism does not know which end you call the input. The geometry does not care. The Work Transfer Function operates identically in both directions.</w:t>
      </w:r>
    </w:p>
    <w:p>
      <w:pPr>
        <w:spacing w:after="60" w:before="60"/>
      </w:pPr>
      <w:r>
        <w:t xml:space="preserve"/>
      </w:r>
    </w:p>
    <w:p>
      <w:pPr>
        <w:pBdr>
          <w:bottom w:val="single" w:color="2E5FA3" w:sz="6" w:space="1"/>
        </w:pBdr>
        <w:spacing w:after="160" w:before="160"/>
      </w:pPr>
      <w:r>
        <w:t xml:space="preserve"/>
      </w:r>
    </w:p>
    <w:p>
      <w:pPr>
        <w:pStyle w:val="Heading1"/>
        <w:spacing w:after="140" w:before="400"/>
      </w:pPr>
      <w:r>
        <w:rPr>
          <w:rFonts w:ascii="Arial" w:cs="Arial" w:eastAsia="Arial" w:hAnsi="Arial"/>
          <w:b/>
          <w:bCs/>
          <w:color w:val="1B3A6B"/>
          <w:sz w:val="34"/>
          <w:szCs w:val="34"/>
        </w:rPr>
        <w:t xml:space="preserve">2. Formal Statement</w:t>
      </w:r>
    </w:p>
    <w:p>
      <w:pPr>
        <w:spacing w:after="120" w:before="80"/>
      </w:pPr>
      <w:r>
        <w:rPr>
          <w:rFonts w:ascii="Arial" w:cs="Arial" w:eastAsia="Arial" w:hAnsi="Arial"/>
          <w:color w:val="444444"/>
          <w:sz w:val="22"/>
          <w:szCs w:val="22"/>
        </w:rPr>
        <w:t xml:space="preserve">For any ideal mechanical system — one with no friction, no compliance, and no energy storage — the following holds:</w:t>
      </w:r>
    </w:p>
    <w:p>
      <w:pPr>
        <w:spacing w:after="60" w:before="60"/>
      </w:pPr>
      <w:r>
        <w:t xml:space="preserve"/>
      </w:r>
    </w:p>
    <w:p>
      <w:pPr>
        <w:spacing w:after="80" w:before="200"/>
      </w:pPr>
      <w:r>
        <w:rPr>
          <w:rFonts w:ascii="Arial" w:cs="Arial" w:eastAsia="Arial" w:hAnsi="Arial"/>
          <w:b/>
          <w:bCs/>
          <w:color w:val="C8730A"/>
          <w:sz w:val="22"/>
          <w:szCs w:val="22"/>
        </w:rPr>
        <w:t xml:space="preserve">The Work Transfer Function</w:t>
      </w:r>
    </w:p>
    <w:p>
      <w:pPr>
        <w:spacing w:after="120" w:before="80"/>
      </w:pPr>
      <w:r>
        <w:rPr>
          <w:rFonts w:ascii="Arial" w:cs="Arial" w:eastAsia="Arial" w:hAnsi="Arial"/>
          <w:color w:val="444444"/>
          <w:sz w:val="22"/>
          <w:szCs w:val="22"/>
        </w:rPr>
        <w:t xml:space="preserve">At every point in the system, the product of force and displacement is equal. The geometry defines the ratio of force to displacement between any two points. The load at any one point determines the force and displacement at every other point simultaneously and completely.</w:t>
      </w:r>
    </w:p>
    <w:p>
      <w:pPr>
        <w:spacing w:after="60" w:before="60"/>
      </w:pPr>
      <w:r>
        <w:t xml:space="preserve"/>
      </w:r>
    </w:p>
    <w:p>
      <w:pPr>
        <w:shd w:fill="F4F6FA" w:val="clear"/>
        <w:spacing w:after="160" w:before="160"/>
        <w:jc w:val="center"/>
      </w:pPr>
      <w:r>
        <w:rPr>
          <w:rFonts w:ascii="Courier New" w:cs="Courier New" w:eastAsia="Courier New" w:hAnsi="Courier New"/>
          <w:b/>
          <w:bCs/>
          <w:color w:val="1B3A6B"/>
          <w:sz w:val="24"/>
          <w:szCs w:val="24"/>
        </w:rPr>
        <w:t xml:space="preserve">W = F₁ × d₁ = F₂ × d₂ = F₃ × d₃ = ... = constant</w:t>
      </w:r>
    </w:p>
    <w:p>
      <w:pPr>
        <w:spacing w:after="60" w:before="60"/>
      </w:pPr>
      <w:r>
        <w:t xml:space="preserve"/>
      </w:r>
    </w:p>
    <w:p>
      <w:pPr>
        <w:spacing w:after="120" w:before="80"/>
      </w:pPr>
      <w:r>
        <w:rPr>
          <w:rFonts w:ascii="Arial" w:cs="Arial" w:eastAsia="Arial" w:hAnsi="Arial"/>
          <w:color w:val="444444"/>
          <w:sz w:val="22"/>
          <w:szCs w:val="22"/>
        </w:rPr>
        <w:t xml:space="preserve">This is not merely conservation of energy restated. It is the stronger claim that the geometry imposes a rigid mapping between force and displacement at every point, and that mapping is determined entirely by the kinematic constraints — the tooth counts, the lever arms, the link lengths, the radii.</w:t>
      </w:r>
    </w:p>
    <w:p>
      <w:pPr>
        <w:spacing w:after="60" w:before="60"/>
      </w:pPr>
      <w:r>
        <w:t xml:space="preserve"/>
      </w:r>
    </w:p>
    <w:p>
      <w:pPr>
        <w:spacing w:after="80" w:before="200"/>
      </w:pPr>
      <w:r>
        <w:rPr>
          <w:rFonts w:ascii="Arial" w:cs="Arial" w:eastAsia="Arial" w:hAnsi="Arial"/>
          <w:b/>
          <w:bCs/>
          <w:color w:val="C8730A"/>
          <w:sz w:val="22"/>
          <w:szCs w:val="22"/>
        </w:rPr>
        <w:t xml:space="preserve">Consequences</w:t>
      </w:r>
    </w:p>
    <w:p>
      <w:pPr>
        <w:pStyle w:val="ListParagraph"/>
        <w:numPr>
          <w:ilvl w:val="0"/>
          <w:numId w:val="2"/>
        </w:numPr>
        <w:spacing w:after="60" w:before="60"/>
      </w:pPr>
      <w:r>
        <w:rPr>
          <w:rFonts w:ascii="Arial" w:cs="Arial" w:eastAsia="Arial" w:hAnsi="Arial"/>
          <w:color w:val="444444"/>
          <w:sz w:val="22"/>
          <w:szCs w:val="22"/>
        </w:rPr>
        <w:t xml:space="preserve">There is no free variable in an ideal mechanism once the load is set</w:t>
      </w:r>
    </w:p>
    <w:p>
      <w:pPr>
        <w:pStyle w:val="ListParagraph"/>
        <w:numPr>
          <w:ilvl w:val="0"/>
          <w:numId w:val="2"/>
        </w:numPr>
        <w:spacing w:after="60" w:before="60"/>
      </w:pPr>
      <w:r>
        <w:rPr>
          <w:rFonts w:ascii="Arial" w:cs="Arial" w:eastAsia="Arial" w:hAnsi="Arial"/>
          <w:color w:val="444444"/>
          <w:sz w:val="22"/>
          <w:szCs w:val="22"/>
        </w:rPr>
        <w:t xml:space="preserve">Mechanical advantage at any point is the inverse of the velocity ratio at that point</w:t>
      </w:r>
    </w:p>
    <w:p>
      <w:pPr>
        <w:pStyle w:val="ListParagraph"/>
        <w:numPr>
          <w:ilvl w:val="0"/>
          <w:numId w:val="2"/>
        </w:numPr>
        <w:spacing w:after="60" w:before="60"/>
      </w:pPr>
      <w:r>
        <w:rPr>
          <w:rFonts w:ascii="Arial" w:cs="Arial" w:eastAsia="Arial" w:hAnsi="Arial"/>
          <w:color w:val="444444"/>
          <w:sz w:val="22"/>
          <w:szCs w:val="22"/>
        </w:rPr>
        <w:t xml:space="preserve">A stationary reaction — however large — does no work and does not appear in the energy balance</w:t>
      </w:r>
    </w:p>
    <w:p>
      <w:pPr>
        <w:pStyle w:val="ListParagraph"/>
        <w:numPr>
          <w:ilvl w:val="0"/>
          <w:numId w:val="2"/>
        </w:numPr>
        <w:spacing w:after="60" w:before="60"/>
      </w:pPr>
      <w:r>
        <w:rPr>
          <w:rFonts w:ascii="Arial" w:cs="Arial" w:eastAsia="Arial" w:hAnsi="Arial"/>
          <w:color w:val="444444"/>
          <w:sz w:val="22"/>
          <w:szCs w:val="22"/>
        </w:rPr>
        <w:t xml:space="preserve">The system cannot be analysed correctly by treating input and output as independent</w:t>
      </w:r>
    </w:p>
    <w:p>
      <w:pPr>
        <w:pStyle w:val="ListParagraph"/>
        <w:numPr>
          <w:ilvl w:val="0"/>
          <w:numId w:val="2"/>
        </w:numPr>
        <w:spacing w:after="60" w:before="60"/>
      </w:pPr>
      <w:r>
        <w:rPr>
          <w:rFonts w:ascii="Arial" w:cs="Arial" w:eastAsia="Arial" w:hAnsi="Arial"/>
          <w:color w:val="444444"/>
          <w:sz w:val="22"/>
          <w:szCs w:val="22"/>
        </w:rPr>
        <w:t xml:space="preserve">Every intermediate force and displacement is fully determined by the geometry and the single boundary load</w:t>
      </w:r>
    </w:p>
    <w:p>
      <w:pPr>
        <w:spacing w:after="60" w:before="60"/>
      </w:pPr>
      <w:r>
        <w:t xml:space="preserve"/>
      </w:r>
    </w:p>
    <w:p>
      <w:pPr>
        <w:pBdr>
          <w:bottom w:val="single" w:color="2E5FA3" w:sz="6" w:space="1"/>
        </w:pBdr>
        <w:spacing w:after="160" w:before="160"/>
      </w:pPr>
      <w:r>
        <w:t xml:space="preserve"/>
      </w:r>
    </w:p>
    <w:p>
      <w:pPr>
        <w:pStyle w:val="Heading1"/>
        <w:spacing w:after="140" w:before="400"/>
      </w:pPr>
      <w:r>
        <w:rPr>
          <w:rFonts w:ascii="Arial" w:cs="Arial" w:eastAsia="Arial" w:hAnsi="Arial"/>
          <w:b/>
          <w:bCs/>
          <w:color w:val="1B3A6B"/>
          <w:sz w:val="34"/>
          <w:szCs w:val="34"/>
        </w:rPr>
        <w:t xml:space="preserve">3. Why This Matters</w:t>
      </w:r>
    </w:p>
    <w:p>
      <w:pPr>
        <w:spacing w:after="120" w:before="80"/>
      </w:pPr>
      <w:r>
        <w:rPr>
          <w:rFonts w:ascii="Arial" w:cs="Arial" w:eastAsia="Arial" w:hAnsi="Arial"/>
          <w:color w:val="444444"/>
          <w:sz w:val="22"/>
          <w:szCs w:val="22"/>
        </w:rPr>
        <w:t xml:space="preserve">The conventional approach of tracing force through a mechanism joint by joint is not wrong, but it is vulnerable to a specific class of error: mistaking a structural reaction for an energy input or output.</w:t>
      </w:r>
    </w:p>
    <w:p>
      <w:pPr>
        <w:spacing w:after="60" w:before="60"/>
      </w:pPr>
      <w:r>
        <w:t xml:space="preserve"/>
      </w:r>
    </w:p>
    <w:p>
      <w:pPr>
        <w:spacing w:after="120" w:before="80"/>
      </w:pPr>
      <w:r>
        <w:rPr>
          <w:rFonts w:ascii="Arial" w:cs="Arial" w:eastAsia="Arial" w:hAnsi="Arial"/>
          <w:color w:val="444444"/>
          <w:sz w:val="22"/>
          <w:szCs w:val="22"/>
        </w:rPr>
        <w:t xml:space="preserve">A structural reaction — a bearing load, a ground reaction, a non-rotating torque constraint — can be very large. It must be designed for. It is physically real. But if it acts through zero displacement it contributes nothing to the work balance. Treating it as if it does leads to apparent violations of conservation, phantom energy gains, and incorrect conclusions about mechanical advantage.</w:t>
      </w:r>
    </w:p>
    <w:p>
      <w:pPr>
        <w:spacing w:after="60" w:before="60"/>
      </w:pPr>
      <w:r>
        <w:t xml:space="preserve"/>
      </w:r>
    </w:p>
    <w:p>
      <w:pPr>
        <w:spacing w:after="120" w:before="80"/>
      </w:pPr>
      <w:r>
        <w:rPr>
          <w:rFonts w:ascii="Arial" w:cs="Arial" w:eastAsia="Arial" w:hAnsi="Arial"/>
          <w:color w:val="444444"/>
          <w:sz w:val="22"/>
          <w:szCs w:val="22"/>
        </w:rPr>
        <w:t xml:space="preserve">There is a second and more consequential failure mode. Conservation of energy, applied too early in the analysis — before the geometry is fully understood — kills valid ideas before they can breathe. An unconventional mechanism that appears to violate conservation at first glance is dismissed, when in fact the geometry has not yet been correctly read and the true moment arms and displacement paths have not yet been identified.</w:t>
      </w:r>
    </w:p>
    <w:p>
      <w:pPr>
        <w:spacing w:after="60" w:before="60"/>
      </w:pPr>
      <w:r>
        <w:t xml:space="preserve"/>
      </w:r>
    </w:p>
    <w:p>
      <w:pPr>
        <w:pBdr>
          <w:left w:val="single" w:color="C8730A" w:sz="16" w:space="8"/>
        </w:pBdr>
        <w:shd w:fill="FFF4E8" w:val="clear"/>
        <w:spacing w:after="160" w:before="160"/>
        <w:ind w:left="560" w:right="560"/>
      </w:pPr>
      <w:r>
        <w:rPr>
          <w:rFonts w:ascii="Arial" w:cs="Arial" w:eastAsia="Arial" w:hAnsi="Arial"/>
          <w:b/>
          <w:bCs/>
          <w:i/>
          <w:iCs/>
          <w:color w:val="C8730A"/>
          <w:sz w:val="22"/>
          <w:szCs w:val="22"/>
        </w:rPr>
        <w:t xml:space="preserve">Conservation of energy is the result of a correct analysis. It is not the starting point. Applied too early it becomes a wall that stops thinking rather than a check that confirms it.</w:t>
      </w:r>
    </w:p>
    <w:p>
      <w:pPr>
        <w:spacing w:after="60" w:before="60"/>
      </w:pPr>
      <w:r>
        <w:t xml:space="preserve"/>
      </w:r>
    </w:p>
    <w:p>
      <w:pPr>
        <w:spacing w:after="120" w:before="80"/>
      </w:pPr>
      <w:r>
        <w:rPr>
          <w:rFonts w:ascii="Arial" w:cs="Arial" w:eastAsia="Arial" w:hAnsi="Arial"/>
          <w:color w:val="444444"/>
          <w:sz w:val="22"/>
          <w:szCs w:val="22"/>
        </w:rPr>
        <w:t xml:space="preserve">The Work Transfer Function perspective eliminates both failure modes by requiring geometry and kinematics to be completed before any energy accounting is attempted. The question is never ‘does this violate conservation’ — it is always ‘have I correctly identified every displacement and every moment arm.’ If conservation does not balance at the end, the error is in the geometry, not in the physics.</w:t>
      </w:r>
    </w:p>
    <w:p>
      <w:pPr>
        <w:spacing w:after="60" w:before="60"/>
      </w:pPr>
      <w:r>
        <w:t xml:space="preserve"/>
      </w:r>
    </w:p>
    <w:p>
      <w:pPr>
        <w:pBdr>
          <w:bottom w:val="single" w:color="2E5FA3" w:sz="6" w:space="1"/>
        </w:pBdr>
        <w:spacing w:after="160" w:before="160"/>
      </w:pPr>
      <w:r>
        <w:t xml:space="preserve"/>
      </w:r>
    </w:p>
    <w:p>
      <w:pPr>
        <w:pStyle w:val="Heading1"/>
        <w:spacing w:after="140" w:before="400"/>
      </w:pPr>
      <w:r>
        <w:rPr>
          <w:rFonts w:ascii="Arial" w:cs="Arial" w:eastAsia="Arial" w:hAnsi="Arial"/>
          <w:b/>
          <w:bCs/>
          <w:color w:val="1B3A6B"/>
          <w:sz w:val="34"/>
          <w:szCs w:val="34"/>
        </w:rPr>
        <w:t xml:space="preserve">4. First Demonstration: The Planetary Gear System</w:t>
      </w:r>
    </w:p>
    <w:p>
      <w:pPr>
        <w:spacing w:after="120" w:before="80"/>
      </w:pPr>
      <w:r>
        <w:rPr>
          <w:rFonts w:ascii="Arial" w:cs="Arial" w:eastAsia="Arial" w:hAnsi="Arial"/>
          <w:color w:val="444444"/>
          <w:sz w:val="22"/>
          <w:szCs w:val="22"/>
        </w:rPr>
        <w:t xml:space="preserve">The following system was used to develop and verify the Work Transfer Function framework. It illustrates both the power of the approach and the specific errors that arise when it is not applied.</w:t>
      </w:r>
    </w:p>
    <w:p>
      <w:pPr>
        <w:spacing w:after="60" w:before="60"/>
      </w:pPr>
      <w:r>
        <w:t xml:space="preserve"/>
      </w:r>
    </w:p>
    <w:p>
      <w:pPr>
        <w:pStyle w:val="Heading2"/>
        <w:spacing w:after="100" w:before="280"/>
      </w:pPr>
      <w:r>
        <w:rPr>
          <w:rFonts w:ascii="Arial" w:cs="Arial" w:eastAsia="Arial" w:hAnsi="Arial"/>
          <w:b/>
          <w:bCs/>
          <w:color w:val="2E5FA3"/>
          <w:sz w:val="26"/>
          <w:szCs w:val="26"/>
        </w:rPr>
        <w:t xml:space="preserve">4.1 System Description</w:t>
      </w:r>
    </w:p>
    <w:p>
      <w:pPr>
        <w:spacing w:after="120" w:before="80"/>
      </w:pPr>
      <w:r>
        <w:rPr>
          <w:rFonts w:ascii="Arial" w:cs="Arial" w:eastAsia="Arial" w:hAnsi="Arial"/>
          <w:color w:val="444444"/>
          <w:sz w:val="22"/>
          <w:szCs w:val="22"/>
        </w:rPr>
        <w:t xml:space="preserve">A cross slide drives a sun gear in a 10mm radius orbit. The sun gear (200T, Mod 1, pitch radius 100mm) cannot rotate — it is rotationally locked to ground through the cross slide mechanism. A ring gear (240T, Mod 1, pitch radius 120mm) is mounted on a pin at the end of a 10mm arm, free to rotate about that pin. The arm rotates about a pivot at the origin. A torque device sits between the pin and the ring gear. The gears mesh internally at a centre distance of 20mm.</w:t>
      </w:r>
    </w:p>
    <w:p>
      <w:pPr>
        <w:spacing w:after="60" w:before="60"/>
      </w:pPr>
      <w:r>
        <w:t xml:space="preserve"/>
      </w:r>
    </w:p>
    <w:p>
      <w:pPr>
        <w:pStyle w:val="Heading2"/>
        <w:spacing w:after="100" w:before="280"/>
      </w:pPr>
      <w:r>
        <w:rPr>
          <w:rFonts w:ascii="Arial" w:cs="Arial" w:eastAsia="Arial" w:hAnsi="Arial"/>
          <w:b/>
          <w:bCs/>
          <w:color w:val="2E5FA3"/>
          <w:sz w:val="26"/>
          <w:szCs w:val="26"/>
        </w:rPr>
        <w:t xml:space="preserve">4.2 The Apparent Paradox</w:t>
      </w:r>
    </w:p>
    <w:p>
      <w:pPr>
        <w:spacing w:after="120" w:before="80"/>
      </w:pPr>
      <w:r>
        <w:rPr>
          <w:rFonts w:ascii="Arial" w:cs="Arial" w:eastAsia="Arial" w:hAnsi="Arial"/>
          <w:color w:val="444444"/>
          <w:sz w:val="22"/>
          <w:szCs w:val="22"/>
        </w:rPr>
        <w:t xml:space="preserve">Initial analysis identified a 12:1 mechanical advantage from the cross slide orbit radius (10mm) to the ring gear pitch radius (120mm). The cross slide travels 62.8mm per orbit cycle, giving 0.0628J of input work at 1N. The ring gear rotates 300° per cycle at 120mm radius — an output displacement of 628mm. This appeared to violate conservation by a factor of 10.</w:t>
      </w:r>
    </w:p>
    <w:p>
      <w:pPr>
        <w:spacing w:after="60" w:before="60"/>
      </w:pPr>
      <w:r>
        <w:t xml:space="preserve"/>
      </w:r>
    </w:p>
    <w:p>
      <w:pPr>
        <w:spacing w:after="120" w:before="80"/>
      </w:pPr>
      <w:r>
        <w:rPr>
          <w:rFonts w:ascii="Arial" w:cs="Arial" w:eastAsia="Arial" w:hAnsi="Arial"/>
          <w:color w:val="444444"/>
          <w:sz w:val="22"/>
          <w:szCs w:val="22"/>
        </w:rPr>
        <w:t xml:space="preserve">The error was in the input moment arm. The cross slide does not apply force at 10mm. The sun gear, being rotationally locked, presents its full pitch radius — 100mm — as a rigid rotating spoke from its centre to the tooth contact point. That spoke is the true input moment arm. The orbit radius of 10mm is kinematics only — it is how the 100mm spoke is rotated, not where the force acts.</w:t>
      </w:r>
    </w:p>
    <w:p>
      <w:pPr>
        <w:spacing w:after="60" w:before="60"/>
      </w:pPr>
      <w:r>
        <w:t xml:space="preserve"/>
      </w:r>
    </w:p>
    <w:p>
      <w:pPr>
        <w:pStyle w:val="Heading2"/>
        <w:spacing w:after="100" w:before="280"/>
      </w:pPr>
      <w:r>
        <w:rPr>
          <w:rFonts w:ascii="Arial" w:cs="Arial" w:eastAsia="Arial" w:hAnsi="Arial"/>
          <w:b/>
          <w:bCs/>
          <w:color w:val="2E5FA3"/>
          <w:sz w:val="26"/>
          <w:szCs w:val="26"/>
        </w:rPr>
        <w:t xml:space="preserve">4.3 The Correct Analysis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000"/>
        <w:gridCol w:w="3000"/>
        <w:gridCol w:w="3360"/>
      </w:tblGrid>
      <w:tr>
        <w:trPr>
          <w:tblHeader/>
        </w:trPr>
        <w:tc>
          <w:tcPr>
            <w:tcW w:type="dxa" w:w="3000"/>
            <w:tcBorders>
              <w:top w:val="single" w:color="1B3A6B" w:sz="1"/>
              <w:left w:val="single" w:color="1B3A6B" w:sz="1"/>
              <w:bottom w:val="single" w:color="1B3A6B" w:sz="1"/>
              <w:right w:val="single" w:color="1B3A6B" w:sz="1"/>
            </w:tcBorders>
            <w:shd w:fill="1B3A6B" w:val="clear"/>
            <w:tcMar>
              <w:top w:type="dxa" w:w="80"/>
              <w:left w:type="dxa" w:w="140"/>
              <w:bottom w:type="dxa" w:w="80"/>
              <w:right w:type="dxa" w:w="140"/>
            </w:tcMar>
          </w:tcPr>
          <w:p>
            <w:pPr>
              <w:jc w:val="center"/>
            </w:pPr>
            <w:r>
              <w:rPr>
                <w:rFonts w:ascii="Arial" w:cs="Arial" w:eastAsia="Arial" w:hAnsi="Arial"/>
                <w:b/>
                <w:bCs/>
                <w:color w:val="FFFFFF"/>
                <w:sz w:val="20"/>
                <w:szCs w:val="20"/>
              </w:rPr>
              <w:t xml:space="preserve">Parameter</w:t>
            </w:r>
          </w:p>
        </w:tc>
        <w:tc>
          <w:tcPr>
            <w:tcW w:type="dxa" w:w="3000"/>
            <w:tcBorders>
              <w:top w:val="single" w:color="1B3A6B" w:sz="1"/>
              <w:left w:val="single" w:color="1B3A6B" w:sz="1"/>
              <w:bottom w:val="single" w:color="1B3A6B" w:sz="1"/>
              <w:right w:val="single" w:color="1B3A6B" w:sz="1"/>
            </w:tcBorders>
            <w:shd w:fill="1B3A6B" w:val="clear"/>
            <w:tcMar>
              <w:top w:type="dxa" w:w="80"/>
              <w:left w:type="dxa" w:w="140"/>
              <w:bottom w:type="dxa" w:w="80"/>
              <w:right w:type="dxa" w:w="140"/>
            </w:tcMar>
          </w:tcPr>
          <w:p>
            <w:pPr>
              <w:jc w:val="center"/>
            </w:pPr>
            <w:r>
              <w:rPr>
                <w:rFonts w:ascii="Arial" w:cs="Arial" w:eastAsia="Arial" w:hAnsi="Arial"/>
                <w:b/>
                <w:bCs/>
                <w:color w:val="FFFFFF"/>
                <w:sz w:val="20"/>
                <w:szCs w:val="20"/>
              </w:rPr>
              <w:t xml:space="preserve">Incorrect</w:t>
            </w:r>
          </w:p>
        </w:tc>
        <w:tc>
          <w:tcPr>
            <w:tcW w:type="dxa" w:w="3360"/>
            <w:tcBorders>
              <w:top w:val="single" w:color="1B3A6B" w:sz="1"/>
              <w:left w:val="single" w:color="1B3A6B" w:sz="1"/>
              <w:bottom w:val="single" w:color="1B3A6B" w:sz="1"/>
              <w:right w:val="single" w:color="1B3A6B" w:sz="1"/>
            </w:tcBorders>
            <w:shd w:fill="1B3A6B" w:val="clear"/>
            <w:tcMar>
              <w:top w:type="dxa" w:w="80"/>
              <w:left w:type="dxa" w:w="140"/>
              <w:bottom w:type="dxa" w:w="80"/>
              <w:right w:type="dxa" w:w="140"/>
            </w:tcMar>
          </w:tcPr>
          <w:p>
            <w:pPr>
              <w:jc w:val="center"/>
            </w:pPr>
            <w:r>
              <w:rPr>
                <w:rFonts w:ascii="Arial" w:cs="Arial" w:eastAsia="Arial" w:hAnsi="Arial"/>
                <w:b/>
                <w:bCs/>
                <w:color w:val="FFFFFF"/>
                <w:sz w:val="20"/>
                <w:szCs w:val="20"/>
              </w:rPr>
              <w:t xml:space="preserve">Correct</w:t>
            </w:r>
          </w:p>
        </w:tc>
      </w:tr>
      <w:tr>
        <w:tc>
          <w:tcPr>
            <w:tcW w:type="dxa" w:w="3000"/>
            <w:tcBorders>
              <w:top w:val="single" w:color="BBCCE0" w:sz="1"/>
              <w:left w:val="single" w:color="BBCCE0" w:sz="1"/>
              <w:bottom w:val="single" w:color="BBCCE0" w:sz="1"/>
              <w:right w:val="single" w:color="BBCCE0" w:sz="1"/>
            </w:tcBorders>
            <w:shd w:fill="F4F6FA" w:val="clear"/>
            <w:tcMar>
              <w:top w:type="dxa" w:w="80"/>
              <w:left w:type="dxa" w:w="140"/>
              <w:bottom w:type="dxa" w:w="80"/>
              <w:right w:type="dxa" w:w="140"/>
            </w:tcMar>
          </w:tcPr>
          <w:p>
            <w:pPr>
              <w:jc w:val="center"/>
            </w:pPr>
            <w:r>
              <w:rPr>
                <w:rFonts w:ascii="Arial" w:cs="Arial" w:eastAsia="Arial" w:hAnsi="Arial"/>
                <w:color w:val="444444"/>
                <w:sz w:val="20"/>
                <w:szCs w:val="20"/>
              </w:rPr>
              <w:t xml:space="preserve">Input moment arm</w:t>
            </w:r>
          </w:p>
        </w:tc>
        <w:tc>
          <w:tcPr>
            <w:tcW w:type="dxa" w:w="3000"/>
            <w:tcBorders>
              <w:top w:val="single" w:color="BBCCE0" w:sz="1"/>
              <w:left w:val="single" w:color="BBCCE0" w:sz="1"/>
              <w:bottom w:val="single" w:color="BBCCE0" w:sz="1"/>
              <w:right w:val="single" w:color="BBCCE0" w:sz="1"/>
            </w:tcBorders>
            <w:shd w:fill="F4F6FA" w:val="clear"/>
            <w:tcMar>
              <w:top w:type="dxa" w:w="80"/>
              <w:left w:type="dxa" w:w="140"/>
              <w:bottom w:type="dxa" w:w="80"/>
              <w:right w:type="dxa" w:w="140"/>
            </w:tcMar>
          </w:tcPr>
          <w:p>
            <w:pPr>
              <w:jc w:val="center"/>
            </w:pPr>
            <w:r>
              <w:rPr>
                <w:rFonts w:ascii="Arial" w:cs="Arial" w:eastAsia="Arial" w:hAnsi="Arial"/>
                <w:color w:val="444444"/>
                <w:sz w:val="20"/>
                <w:szCs w:val="20"/>
              </w:rPr>
              <w:t xml:space="preserve">10mm (orbit radius)</w:t>
            </w:r>
          </w:p>
        </w:tc>
        <w:tc>
          <w:tcPr>
            <w:tcW w:type="dxa" w:w="3360"/>
            <w:tcBorders>
              <w:top w:val="single" w:color="BBCCE0" w:sz="1"/>
              <w:left w:val="single" w:color="BBCCE0" w:sz="1"/>
              <w:bottom w:val="single" w:color="BBCCE0" w:sz="1"/>
              <w:right w:val="single" w:color="BBCCE0" w:sz="1"/>
            </w:tcBorders>
            <w:shd w:fill="F4F6FA" w:val="clear"/>
            <w:tcMar>
              <w:top w:type="dxa" w:w="80"/>
              <w:left w:type="dxa" w:w="140"/>
              <w:bottom w:type="dxa" w:w="80"/>
              <w:right w:type="dxa" w:w="140"/>
            </w:tcMar>
          </w:tcPr>
          <w:p>
            <w:pPr>
              <w:jc w:val="center"/>
            </w:pPr>
            <w:r>
              <w:rPr>
                <w:rFonts w:ascii="Arial" w:cs="Arial" w:eastAsia="Arial" w:hAnsi="Arial"/>
                <w:color w:val="444444"/>
                <w:sz w:val="20"/>
                <w:szCs w:val="20"/>
              </w:rPr>
              <w:t xml:space="preserve">100mm (sun gear pitch radius)</w:t>
            </w:r>
          </w:p>
        </w:tc>
      </w:tr>
      <w:tr>
        <w:tc>
          <w:tcPr>
            <w:tcW w:type="dxa" w:w="3000"/>
            <w:tcBorders>
              <w:top w:val="single" w:color="BBCCE0" w:sz="1"/>
              <w:left w:val="single" w:color="BBCCE0" w:sz="1"/>
              <w:bottom w:val="single" w:color="BBCCE0" w:sz="1"/>
              <w:right w:val="single" w:color="BBCCE0" w:sz="1"/>
            </w:tcBorders>
            <w:shd w:fill="FFFFFF" w:val="clear"/>
            <w:tcMar>
              <w:top w:type="dxa" w:w="80"/>
              <w:left w:type="dxa" w:w="140"/>
              <w:bottom w:type="dxa" w:w="80"/>
              <w:right w:type="dxa" w:w="140"/>
            </w:tcMar>
          </w:tcPr>
          <w:p>
            <w:pPr>
              <w:jc w:val="center"/>
            </w:pPr>
            <w:r>
              <w:rPr>
                <w:rFonts w:ascii="Arial" w:cs="Arial" w:eastAsia="Arial" w:hAnsi="Arial"/>
                <w:color w:val="444444"/>
                <w:sz w:val="20"/>
                <w:szCs w:val="20"/>
              </w:rPr>
              <w:t xml:space="preserve">Output moment arm</w:t>
            </w:r>
          </w:p>
        </w:tc>
        <w:tc>
          <w:tcPr>
            <w:tcW w:type="dxa" w:w="3000"/>
            <w:tcBorders>
              <w:top w:val="single" w:color="BBCCE0" w:sz="1"/>
              <w:left w:val="single" w:color="BBCCE0" w:sz="1"/>
              <w:bottom w:val="single" w:color="BBCCE0" w:sz="1"/>
              <w:right w:val="single" w:color="BBCCE0" w:sz="1"/>
            </w:tcBorders>
            <w:shd w:fill="FFFFFF" w:val="clear"/>
            <w:tcMar>
              <w:top w:type="dxa" w:w="80"/>
              <w:left w:type="dxa" w:w="140"/>
              <w:bottom w:type="dxa" w:w="80"/>
              <w:right w:type="dxa" w:w="140"/>
            </w:tcMar>
          </w:tcPr>
          <w:p>
            <w:pPr>
              <w:jc w:val="center"/>
            </w:pPr>
            <w:r>
              <w:rPr>
                <w:rFonts w:ascii="Arial" w:cs="Arial" w:eastAsia="Arial" w:hAnsi="Arial"/>
                <w:color w:val="444444"/>
                <w:sz w:val="20"/>
                <w:szCs w:val="20"/>
              </w:rPr>
              <w:t xml:space="preserve">120mm</w:t>
            </w:r>
          </w:p>
        </w:tc>
        <w:tc>
          <w:tcPr>
            <w:tcW w:type="dxa" w:w="3360"/>
            <w:tcBorders>
              <w:top w:val="single" w:color="BBCCE0" w:sz="1"/>
              <w:left w:val="single" w:color="BBCCE0" w:sz="1"/>
              <w:bottom w:val="single" w:color="BBCCE0" w:sz="1"/>
              <w:right w:val="single" w:color="BBCCE0" w:sz="1"/>
            </w:tcBorders>
            <w:shd w:fill="FFFFFF" w:val="clear"/>
            <w:tcMar>
              <w:top w:type="dxa" w:w="80"/>
              <w:left w:type="dxa" w:w="140"/>
              <w:bottom w:type="dxa" w:w="80"/>
              <w:right w:type="dxa" w:w="140"/>
            </w:tcMar>
          </w:tcPr>
          <w:p>
            <w:pPr>
              <w:jc w:val="center"/>
            </w:pPr>
            <w:r>
              <w:rPr>
                <w:rFonts w:ascii="Arial" w:cs="Arial" w:eastAsia="Arial" w:hAnsi="Arial"/>
                <w:color w:val="444444"/>
                <w:sz w:val="20"/>
                <w:szCs w:val="20"/>
              </w:rPr>
              <w:t xml:space="preserve">120mm</w:t>
            </w:r>
          </w:p>
        </w:tc>
      </w:tr>
      <w:tr>
        <w:tc>
          <w:tcPr>
            <w:tcW w:type="dxa" w:w="3000"/>
            <w:tcBorders>
              <w:top w:val="single" w:color="BBCCE0" w:sz="1"/>
              <w:left w:val="single" w:color="BBCCE0" w:sz="1"/>
              <w:bottom w:val="single" w:color="BBCCE0" w:sz="1"/>
              <w:right w:val="single" w:color="BBCCE0" w:sz="1"/>
            </w:tcBorders>
            <w:shd w:fill="F4F6FA" w:val="clear"/>
            <w:tcMar>
              <w:top w:type="dxa" w:w="80"/>
              <w:left w:type="dxa" w:w="140"/>
              <w:bottom w:type="dxa" w:w="80"/>
              <w:right w:type="dxa" w:w="140"/>
            </w:tcMar>
          </w:tcPr>
          <w:p>
            <w:pPr>
              <w:jc w:val="center"/>
            </w:pPr>
            <w:r>
              <w:rPr>
                <w:rFonts w:ascii="Arial" w:cs="Arial" w:eastAsia="Arial" w:hAnsi="Arial"/>
                <w:color w:val="444444"/>
                <w:sz w:val="20"/>
                <w:szCs w:val="20"/>
              </w:rPr>
              <w:t xml:space="preserve">Mechanical advantage</w:t>
            </w:r>
          </w:p>
        </w:tc>
        <w:tc>
          <w:tcPr>
            <w:tcW w:type="dxa" w:w="3000"/>
            <w:tcBorders>
              <w:top w:val="single" w:color="BBCCE0" w:sz="1"/>
              <w:left w:val="single" w:color="BBCCE0" w:sz="1"/>
              <w:bottom w:val="single" w:color="BBCCE0" w:sz="1"/>
              <w:right w:val="single" w:color="BBCCE0" w:sz="1"/>
            </w:tcBorders>
            <w:shd w:fill="F4F6FA" w:val="clear"/>
            <w:tcMar>
              <w:top w:type="dxa" w:w="80"/>
              <w:left w:type="dxa" w:w="140"/>
              <w:bottom w:type="dxa" w:w="80"/>
              <w:right w:type="dxa" w:w="140"/>
            </w:tcMar>
          </w:tcPr>
          <w:p>
            <w:pPr>
              <w:jc w:val="center"/>
            </w:pPr>
            <w:r>
              <w:rPr>
                <w:rFonts w:ascii="Arial" w:cs="Arial" w:eastAsia="Arial" w:hAnsi="Arial"/>
                <w:color w:val="444444"/>
                <w:sz w:val="20"/>
                <w:szCs w:val="20"/>
              </w:rPr>
              <w:t xml:space="preserve">12 : 1</w:t>
            </w:r>
          </w:p>
        </w:tc>
        <w:tc>
          <w:tcPr>
            <w:tcW w:type="dxa" w:w="3360"/>
            <w:tcBorders>
              <w:top w:val="single" w:color="BBCCE0" w:sz="1"/>
              <w:left w:val="single" w:color="BBCCE0" w:sz="1"/>
              <w:bottom w:val="single" w:color="BBCCE0" w:sz="1"/>
              <w:right w:val="single" w:color="BBCCE0" w:sz="1"/>
            </w:tcBorders>
            <w:shd w:fill="F4F6FA" w:val="clear"/>
            <w:tcMar>
              <w:top w:type="dxa" w:w="80"/>
              <w:left w:type="dxa" w:w="140"/>
              <w:bottom w:type="dxa" w:w="80"/>
              <w:right w:type="dxa" w:w="140"/>
            </w:tcMar>
          </w:tcPr>
          <w:p>
            <w:pPr>
              <w:jc w:val="center"/>
            </w:pPr>
            <w:r>
              <w:rPr>
                <w:rFonts w:ascii="Arial" w:cs="Arial" w:eastAsia="Arial" w:hAnsi="Arial"/>
                <w:color w:val="444444"/>
                <w:sz w:val="20"/>
                <w:szCs w:val="20"/>
              </w:rPr>
              <w:t xml:space="preserve">6 : 5</w:t>
            </w:r>
          </w:p>
        </w:tc>
      </w:tr>
      <w:tr>
        <w:tc>
          <w:tcPr>
            <w:tcW w:type="dxa" w:w="3000"/>
            <w:tcBorders>
              <w:top w:val="single" w:color="BBCCE0" w:sz="1"/>
              <w:left w:val="single" w:color="BBCCE0" w:sz="1"/>
              <w:bottom w:val="single" w:color="BBCCE0" w:sz="1"/>
              <w:right w:val="single" w:color="BBCCE0" w:sz="1"/>
            </w:tcBorders>
            <w:shd w:fill="FFFFFF" w:val="clear"/>
            <w:tcMar>
              <w:top w:type="dxa" w:w="80"/>
              <w:left w:type="dxa" w:w="140"/>
              <w:bottom w:type="dxa" w:w="80"/>
              <w:right w:type="dxa" w:w="140"/>
            </w:tcMar>
          </w:tcPr>
          <w:p>
            <w:pPr>
              <w:jc w:val="center"/>
            </w:pPr>
            <w:r>
              <w:rPr>
                <w:rFonts w:ascii="Arial" w:cs="Arial" w:eastAsia="Arial" w:hAnsi="Arial"/>
                <w:color w:val="444444"/>
                <w:sz w:val="20"/>
                <w:szCs w:val="20"/>
              </w:rPr>
              <w:t xml:space="preserve">Input displacement / cycle</w:t>
            </w:r>
          </w:p>
        </w:tc>
        <w:tc>
          <w:tcPr>
            <w:tcW w:type="dxa" w:w="3000"/>
            <w:tcBorders>
              <w:top w:val="single" w:color="BBCCE0" w:sz="1"/>
              <w:left w:val="single" w:color="BBCCE0" w:sz="1"/>
              <w:bottom w:val="single" w:color="BBCCE0" w:sz="1"/>
              <w:right w:val="single" w:color="BBCCE0" w:sz="1"/>
            </w:tcBorders>
            <w:shd w:fill="FFFFFF" w:val="clear"/>
            <w:tcMar>
              <w:top w:type="dxa" w:w="80"/>
              <w:left w:type="dxa" w:w="140"/>
              <w:bottom w:type="dxa" w:w="80"/>
              <w:right w:type="dxa" w:w="140"/>
            </w:tcMar>
          </w:tcPr>
          <w:p>
            <w:pPr>
              <w:jc w:val="center"/>
            </w:pPr>
            <w:r>
              <w:rPr>
                <w:rFonts w:ascii="Arial" w:cs="Arial" w:eastAsia="Arial" w:hAnsi="Arial"/>
                <w:color w:val="444444"/>
                <w:sz w:val="20"/>
                <w:szCs w:val="20"/>
              </w:rPr>
              <w:t xml:space="preserve">62.8mm</w:t>
            </w:r>
          </w:p>
        </w:tc>
        <w:tc>
          <w:tcPr>
            <w:tcW w:type="dxa" w:w="3360"/>
            <w:tcBorders>
              <w:top w:val="single" w:color="BBCCE0" w:sz="1"/>
              <w:left w:val="single" w:color="BBCCE0" w:sz="1"/>
              <w:bottom w:val="single" w:color="BBCCE0" w:sz="1"/>
              <w:right w:val="single" w:color="BBCCE0" w:sz="1"/>
            </w:tcBorders>
            <w:shd w:fill="FFFFFF" w:val="clear"/>
            <w:tcMar>
              <w:top w:type="dxa" w:w="80"/>
              <w:left w:type="dxa" w:w="140"/>
              <w:bottom w:type="dxa" w:w="80"/>
              <w:right w:type="dxa" w:w="140"/>
            </w:tcMar>
          </w:tcPr>
          <w:p>
            <w:pPr>
              <w:jc w:val="center"/>
            </w:pPr>
            <w:r>
              <w:rPr>
                <w:rFonts w:ascii="Arial" w:cs="Arial" w:eastAsia="Arial" w:hAnsi="Arial"/>
                <w:color w:val="444444"/>
                <w:sz w:val="20"/>
                <w:szCs w:val="20"/>
              </w:rPr>
              <w:t xml:space="preserve">628mm</w:t>
            </w:r>
          </w:p>
        </w:tc>
      </w:tr>
      <w:tr>
        <w:tc>
          <w:tcPr>
            <w:tcW w:type="dxa" w:w="3000"/>
            <w:tcBorders>
              <w:top w:val="single" w:color="BBCCE0" w:sz="1"/>
              <w:left w:val="single" w:color="BBCCE0" w:sz="1"/>
              <w:bottom w:val="single" w:color="BBCCE0" w:sz="1"/>
              <w:right w:val="single" w:color="BBCCE0" w:sz="1"/>
            </w:tcBorders>
            <w:shd w:fill="F4F6FA" w:val="clear"/>
            <w:tcMar>
              <w:top w:type="dxa" w:w="80"/>
              <w:left w:type="dxa" w:w="140"/>
              <w:bottom w:type="dxa" w:w="80"/>
              <w:right w:type="dxa" w:w="140"/>
            </w:tcMar>
          </w:tcPr>
          <w:p>
            <w:pPr>
              <w:jc w:val="center"/>
            </w:pPr>
            <w:r>
              <w:rPr>
                <w:rFonts w:ascii="Arial" w:cs="Arial" w:eastAsia="Arial" w:hAnsi="Arial"/>
                <w:color w:val="444444"/>
                <w:sz w:val="20"/>
                <w:szCs w:val="20"/>
              </w:rPr>
              <w:t xml:space="preserve">Output displacement / cycle</w:t>
            </w:r>
          </w:p>
        </w:tc>
        <w:tc>
          <w:tcPr>
            <w:tcW w:type="dxa" w:w="3000"/>
            <w:tcBorders>
              <w:top w:val="single" w:color="BBCCE0" w:sz="1"/>
              <w:left w:val="single" w:color="BBCCE0" w:sz="1"/>
              <w:bottom w:val="single" w:color="BBCCE0" w:sz="1"/>
              <w:right w:val="single" w:color="BBCCE0" w:sz="1"/>
            </w:tcBorders>
            <w:shd w:fill="F4F6FA" w:val="clear"/>
            <w:tcMar>
              <w:top w:type="dxa" w:w="80"/>
              <w:left w:type="dxa" w:w="140"/>
              <w:bottom w:type="dxa" w:w="80"/>
              <w:right w:type="dxa" w:w="140"/>
            </w:tcMar>
          </w:tcPr>
          <w:p>
            <w:pPr>
              <w:jc w:val="center"/>
            </w:pPr>
            <w:r>
              <w:rPr>
                <w:rFonts w:ascii="Arial" w:cs="Arial" w:eastAsia="Arial" w:hAnsi="Arial"/>
                <w:color w:val="444444"/>
                <w:sz w:val="20"/>
                <w:szCs w:val="20"/>
              </w:rPr>
              <w:t xml:space="preserve">628mm</w:t>
            </w:r>
          </w:p>
        </w:tc>
        <w:tc>
          <w:tcPr>
            <w:tcW w:type="dxa" w:w="3360"/>
            <w:tcBorders>
              <w:top w:val="single" w:color="BBCCE0" w:sz="1"/>
              <w:left w:val="single" w:color="BBCCE0" w:sz="1"/>
              <w:bottom w:val="single" w:color="BBCCE0" w:sz="1"/>
              <w:right w:val="single" w:color="BBCCE0" w:sz="1"/>
            </w:tcBorders>
            <w:shd w:fill="F4F6FA" w:val="clear"/>
            <w:tcMar>
              <w:top w:type="dxa" w:w="80"/>
              <w:left w:type="dxa" w:w="140"/>
              <w:bottom w:type="dxa" w:w="80"/>
              <w:right w:type="dxa" w:w="140"/>
            </w:tcMar>
          </w:tcPr>
          <w:p>
            <w:pPr>
              <w:jc w:val="center"/>
            </w:pPr>
            <w:r>
              <w:rPr>
                <w:rFonts w:ascii="Arial" w:cs="Arial" w:eastAsia="Arial" w:hAnsi="Arial"/>
                <w:color w:val="444444"/>
                <w:sz w:val="20"/>
                <w:szCs w:val="20"/>
              </w:rPr>
              <w:t xml:space="preserve">628mm</w:t>
            </w:r>
          </w:p>
        </w:tc>
      </w:tr>
      <w:tr>
        <w:tc>
          <w:tcPr>
            <w:tcW w:type="dxa" w:w="3000"/>
            <w:tcBorders>
              <w:top w:val="single" w:color="BBCCE0" w:sz="1"/>
              <w:left w:val="single" w:color="BBCCE0" w:sz="1"/>
              <w:bottom w:val="single" w:color="BBCCE0" w:sz="1"/>
              <w:right w:val="single" w:color="BBCCE0" w:sz="1"/>
            </w:tcBorders>
            <w:shd w:fill="FFFFFF" w:val="clear"/>
            <w:tcMar>
              <w:top w:type="dxa" w:w="80"/>
              <w:left w:type="dxa" w:w="140"/>
              <w:bottom w:type="dxa" w:w="80"/>
              <w:right w:type="dxa" w:w="140"/>
            </w:tcMar>
          </w:tcPr>
          <w:p>
            <w:pPr>
              <w:jc w:val="center"/>
            </w:pPr>
            <w:r>
              <w:rPr>
                <w:rFonts w:ascii="Arial" w:cs="Arial" w:eastAsia="Arial" w:hAnsi="Arial"/>
                <w:color w:val="444444"/>
                <w:sz w:val="20"/>
                <w:szCs w:val="20"/>
              </w:rPr>
              <w:t xml:space="preserve">Energy balance</w:t>
            </w:r>
          </w:p>
        </w:tc>
        <w:tc>
          <w:tcPr>
            <w:tcW w:type="dxa" w:w="3000"/>
            <w:tcBorders>
              <w:top w:val="single" w:color="BBCCE0" w:sz="1"/>
              <w:left w:val="single" w:color="BBCCE0" w:sz="1"/>
              <w:bottom w:val="single" w:color="BBCCE0" w:sz="1"/>
              <w:right w:val="single" w:color="BBCCE0" w:sz="1"/>
            </w:tcBorders>
            <w:shd w:fill="FFFFFF" w:val="clear"/>
            <w:tcMar>
              <w:top w:type="dxa" w:w="80"/>
              <w:left w:type="dxa" w:w="140"/>
              <w:bottom w:type="dxa" w:w="80"/>
              <w:right w:type="dxa" w:w="140"/>
            </w:tcMar>
          </w:tcPr>
          <w:p>
            <w:pPr>
              <w:jc w:val="center"/>
            </w:pPr>
            <w:r>
              <w:rPr>
                <w:rFonts w:ascii="Arial" w:cs="Arial" w:eastAsia="Arial" w:hAnsi="Arial"/>
                <w:color w:val="444444"/>
                <w:sz w:val="20"/>
                <w:szCs w:val="20"/>
              </w:rPr>
              <w:t xml:space="preserve">10× violation</w:t>
            </w:r>
          </w:p>
        </w:tc>
        <w:tc>
          <w:tcPr>
            <w:tcW w:type="dxa" w:w="3360"/>
            <w:tcBorders>
              <w:top w:val="single" w:color="BBCCE0" w:sz="1"/>
              <w:left w:val="single" w:color="BBCCE0" w:sz="1"/>
              <w:bottom w:val="single" w:color="BBCCE0" w:sz="1"/>
              <w:right w:val="single" w:color="BBCCE0" w:sz="1"/>
            </w:tcBorders>
            <w:shd w:fill="FFFFFF" w:val="clear"/>
            <w:tcMar>
              <w:top w:type="dxa" w:w="80"/>
              <w:left w:type="dxa" w:w="140"/>
              <w:bottom w:type="dxa" w:w="80"/>
              <w:right w:type="dxa" w:w="140"/>
            </w:tcMar>
          </w:tcPr>
          <w:p>
            <w:pPr>
              <w:jc w:val="center"/>
            </w:pPr>
            <w:r>
              <w:rPr>
                <w:rFonts w:ascii="Arial" w:cs="Arial" w:eastAsia="Arial" w:hAnsi="Arial"/>
                <w:color w:val="444444"/>
                <w:sz w:val="20"/>
                <w:szCs w:val="20"/>
              </w:rPr>
              <w:t xml:space="preserve">Exact conservation</w:t>
            </w:r>
          </w:p>
        </w:tc>
      </w:tr>
    </w:tbl>
    <w:p>
      <w:pPr>
        <w:spacing w:after="60" w:before="60"/>
      </w:pPr>
      <w:r>
        <w:t xml:space="preserve"/>
      </w:r>
    </w:p>
    <w:p>
      <w:pPr>
        <w:shd w:fill="F4F6FA" w:val="clear"/>
        <w:spacing w:after="160" w:before="160"/>
        <w:jc w:val="center"/>
      </w:pPr>
      <w:r>
        <w:rPr>
          <w:rFonts w:ascii="Courier New" w:cs="Courier New" w:eastAsia="Courier New" w:hAnsi="Courier New"/>
          <w:b/>
          <w:bCs/>
          <w:color w:val="1B3A6B"/>
          <w:sz w:val="24"/>
          <w:szCs w:val="24"/>
        </w:rPr>
        <w:t xml:space="preserve">MA = R_ring / R_sun = 120 / 100 = 6/5</w:t>
      </w:r>
    </w:p>
    <w:p>
      <w:pPr>
        <w:shd w:fill="F4F6FA" w:val="clear"/>
        <w:spacing w:after="160" w:before="160"/>
        <w:jc w:val="center"/>
      </w:pPr>
      <w:r>
        <w:rPr>
          <w:rFonts w:ascii="Courier New" w:cs="Courier New" w:eastAsia="Courier New" w:hAnsi="Courier New"/>
          <w:b/>
          <w:bCs/>
          <w:color w:val="1B3A6B"/>
          <w:sz w:val="24"/>
          <w:szCs w:val="24"/>
        </w:rPr>
        <w:t xml:space="preserve">d_input = 2π × 100mm = 628mm  =  d_output</w:t>
      </w:r>
    </w:p>
    <w:p>
      <w:pPr>
        <w:spacing w:after="60" w:before="60"/>
      </w:pPr>
      <w:r>
        <w:t xml:space="preserve"/>
      </w:r>
    </w:p>
    <w:p>
      <w:pPr>
        <w:pStyle w:val="Heading2"/>
        <w:spacing w:after="100" w:before="280"/>
      </w:pPr>
      <w:r>
        <w:rPr>
          <w:rFonts w:ascii="Arial" w:cs="Arial" w:eastAsia="Arial" w:hAnsi="Arial"/>
          <w:b/>
          <w:bCs/>
          <w:color w:val="2E5FA3"/>
          <w:sz w:val="26"/>
          <w:szCs w:val="26"/>
        </w:rPr>
        <w:t xml:space="preserve">4.4 The Role of the Device</w:t>
      </w:r>
    </w:p>
    <w:p>
      <w:pPr>
        <w:spacing w:after="120" w:before="80"/>
      </w:pPr>
      <w:r>
        <w:rPr>
          <w:rFonts w:ascii="Arial" w:cs="Arial" w:eastAsia="Arial" w:hAnsi="Arial"/>
          <w:color w:val="444444"/>
          <w:sz w:val="22"/>
          <w:szCs w:val="22"/>
        </w:rPr>
        <w:t xml:space="preserve">The most revealing insight from this system is the role of the torque device between the pin and the ring gear. If the device demands zero torque, the ring gear spins freely. If the ring gear spins freely, there is no tooth normal force. If there is no tooth normal force, the entire system is unloaded — no force in the arm, no reaction at the pivot, no force at the cross slide.</w:t>
      </w:r>
    </w:p>
    <w:p>
      <w:pPr>
        <w:spacing w:after="60" w:before="60"/>
      </w:pPr>
      <w:r>
        <w:t xml:space="preserve"/>
      </w:r>
    </w:p>
    <w:p>
      <w:pPr>
        <w:spacing w:after="120" w:before="80"/>
      </w:pPr>
      <w:r>
        <w:rPr>
          <w:rFonts w:ascii="Arial" w:cs="Arial" w:eastAsia="Arial" w:hAnsi="Arial"/>
          <w:color w:val="444444"/>
          <w:sz w:val="22"/>
          <w:szCs w:val="22"/>
        </w:rPr>
        <w:t xml:space="preserve">The device is not the output of the system. The device is the anchor. The device load creates the tooth normal force, which propagates through the geometry to every other point simultaneously. The cross slide does not drive the device — the device load determines what the cross slide must react. Both are windows into the same Work Transfer Function.</w:t>
      </w:r>
    </w:p>
    <w:p>
      <w:pPr>
        <w:spacing w:after="60" w:before="60"/>
      </w:pPr>
      <w:r>
        <w:t xml:space="preserve"/>
      </w:r>
    </w:p>
    <w:p>
      <w:pPr>
        <w:pBdr>
          <w:left w:val="single" w:color="C8730A" w:sz="16" w:space="8"/>
        </w:pBdr>
        <w:shd w:fill="FFF4E8" w:val="clear"/>
        <w:spacing w:after="160" w:before="160"/>
        <w:ind w:left="560" w:right="560"/>
      </w:pPr>
      <w:r>
        <w:rPr>
          <w:rFonts w:ascii="Arial" w:cs="Arial" w:eastAsia="Arial" w:hAnsi="Arial"/>
          <w:b/>
          <w:bCs/>
          <w:i/>
          <w:iCs/>
          <w:color w:val="C8730A"/>
          <w:sz w:val="22"/>
          <w:szCs w:val="22"/>
        </w:rPr>
        <w:t xml:space="preserve">The path was already there. The device chose where to exit it. The cross slide chose where to enter it. The geometry did everything in between.</w:t>
      </w:r>
    </w:p>
    <w:p>
      <w:pPr>
        <w:spacing w:after="60" w:before="60"/>
      </w:pPr>
      <w:r>
        <w:t xml:space="preserve"/>
      </w:r>
    </w:p>
    <w:p>
      <w:pPr>
        <w:pBdr>
          <w:bottom w:val="single" w:color="2E5FA3" w:sz="6" w:space="1"/>
        </w:pBdr>
        <w:spacing w:after="160" w:before="160"/>
      </w:pPr>
      <w:r>
        <w:t xml:space="preserve"/>
      </w:r>
    </w:p>
    <w:p>
      <w:pPr>
        <w:pStyle w:val="Heading1"/>
        <w:spacing w:after="140" w:before="400"/>
      </w:pPr>
      <w:r>
        <w:rPr>
          <w:rFonts w:ascii="Arial" w:cs="Arial" w:eastAsia="Arial" w:hAnsi="Arial"/>
          <w:b/>
          <w:bCs/>
          <w:color w:val="1B3A6B"/>
          <w:sz w:val="34"/>
          <w:szCs w:val="34"/>
        </w:rPr>
        <w:t xml:space="preserve">5. Second Demonstration: The Centripetal Test Bed</w:t>
      </w:r>
    </w:p>
    <w:p>
      <w:pPr>
        <w:spacing w:after="120" w:before="80"/>
      </w:pPr>
      <w:r>
        <w:rPr>
          <w:rFonts w:ascii="Arial" w:cs="Arial" w:eastAsia="Arial" w:hAnsi="Arial"/>
          <w:color w:val="444444"/>
          <w:sz w:val="22"/>
          <w:szCs w:val="22"/>
        </w:rPr>
        <w:t xml:space="preserve">This device was built and tested by hand. It demonstrates a different aspect of the Work Transfer Function — one where the transfer function itself is not fixed but grows with operating speed, because the force being harvested is centripetal in nature.</w:t>
      </w:r>
    </w:p>
    <w:p>
      <w:pPr>
        <w:spacing w:after="60" w:before="60"/>
      </w:pPr>
      <w:r>
        <w:t xml:space="preserve"/>
      </w:r>
    </w:p>
    <w:p>
      <w:pPr>
        <w:pStyle w:val="Heading2"/>
        <w:spacing w:after="100" w:before="280"/>
      </w:pPr>
      <w:r>
        <w:rPr>
          <w:rFonts w:ascii="Arial" w:cs="Arial" w:eastAsia="Arial" w:hAnsi="Arial"/>
          <w:b/>
          <w:bCs/>
          <w:color w:val="2E5FA3"/>
          <w:sz w:val="26"/>
          <w:szCs w:val="26"/>
        </w:rPr>
        <w:t xml:space="preserve">5.1 Configuration</w:t>
      </w:r>
    </w:p>
    <w:p>
      <w:pPr>
        <w:pStyle w:val="ListParagraph"/>
        <w:numPr>
          <w:ilvl w:val="0"/>
          <w:numId w:val="2"/>
        </w:numPr>
        <w:spacing w:after="60" w:before="60"/>
      </w:pPr>
      <w:r>
        <w:rPr>
          <w:rFonts w:ascii="Arial" w:cs="Arial" w:eastAsia="Arial" w:hAnsi="Arial"/>
          <w:color w:val="444444"/>
          <w:sz w:val="22"/>
          <w:szCs w:val="22"/>
        </w:rPr>
        <w:t xml:space="preserve">A horizontal disc rotates about a vertical axis</w:t>
      </w:r>
    </w:p>
    <w:p>
      <w:pPr>
        <w:pStyle w:val="ListParagraph"/>
        <w:numPr>
          <w:ilvl w:val="0"/>
          <w:numId w:val="2"/>
        </w:numPr>
        <w:spacing w:after="60" w:before="60"/>
      </w:pPr>
      <w:r>
        <w:rPr>
          <w:rFonts w:ascii="Arial" w:cs="Arial" w:eastAsia="Arial" w:hAnsi="Arial"/>
          <w:color w:val="444444"/>
          <w:sz w:val="22"/>
          <w:szCs w:val="22"/>
        </w:rPr>
        <w:t xml:space="preserve">A 190g mass is mounted at 75mm radius on the disc</w:t>
      </w:r>
    </w:p>
    <w:p>
      <w:pPr>
        <w:pStyle w:val="ListParagraph"/>
        <w:numPr>
          <w:ilvl w:val="0"/>
          <w:numId w:val="2"/>
        </w:numPr>
        <w:spacing w:after="60" w:before="60"/>
      </w:pPr>
      <w:r>
        <w:rPr>
          <w:rFonts w:ascii="Arial" w:cs="Arial" w:eastAsia="Arial" w:hAnsi="Arial"/>
          <w:color w:val="444444"/>
          <w:sz w:val="22"/>
          <w:szCs w:val="22"/>
        </w:rPr>
        <w:t xml:space="preserve">The crankshaft below the disc has a deliberate bend — a throw — that converts the centripetal force of the orbiting mass into a useable output at the vertical output shaft</w:t>
      </w:r>
    </w:p>
    <w:p>
      <w:pPr>
        <w:pStyle w:val="ListParagraph"/>
        <w:numPr>
          <w:ilvl w:val="0"/>
          <w:numId w:val="2"/>
        </w:numPr>
        <w:spacing w:after="60" w:before="60"/>
      </w:pPr>
      <w:r>
        <w:rPr>
          <w:rFonts w:ascii="Arial" w:cs="Arial" w:eastAsia="Arial" w:hAnsi="Arial"/>
          <w:color w:val="444444"/>
          <w:sz w:val="22"/>
          <w:szCs w:val="22"/>
        </w:rPr>
        <w:t xml:space="preserve">A small constant tangential force is applied to the rim of the input disc — in the original test, a pencil held by hand</w:t>
      </w:r>
    </w:p>
    <w:p>
      <w:pPr>
        <w:pStyle w:val="ListParagraph"/>
        <w:numPr>
          <w:ilvl w:val="0"/>
          <w:numId w:val="2"/>
        </w:numPr>
        <w:spacing w:after="60" w:before="60"/>
      </w:pPr>
      <w:r>
        <w:rPr>
          <w:rFonts w:ascii="Arial" w:cs="Arial" w:eastAsia="Arial" w:hAnsi="Arial"/>
          <w:color w:val="444444"/>
          <w:sz w:val="22"/>
          <w:szCs w:val="22"/>
        </w:rPr>
        <w:t xml:space="preserve">The output was measured by squeezing fingers against a 20mm disc attached to the output shaft</w:t>
      </w:r>
    </w:p>
    <w:p>
      <w:pPr>
        <w:spacing w:after="60" w:before="60"/>
      </w:pPr>
      <w:r>
        <w:t xml:space="preserve"/>
      </w:r>
    </w:p>
    <w:p>
      <w:pPr>
        <w:pStyle w:val="Heading2"/>
        <w:spacing w:after="100" w:before="280"/>
      </w:pPr>
      <w:r>
        <w:rPr>
          <w:rFonts w:ascii="Arial" w:cs="Arial" w:eastAsia="Arial" w:hAnsi="Arial"/>
          <w:b/>
          <w:bCs/>
          <w:color w:val="2E5FA3"/>
          <w:sz w:val="26"/>
          <w:szCs w:val="26"/>
        </w:rPr>
        <w:t xml:space="preserve">5.2 The Centripetal Force</w:t>
      </w:r>
    </w:p>
    <w:p>
      <w:pPr>
        <w:spacing w:after="120" w:before="80"/>
      </w:pPr>
      <w:r>
        <w:rPr>
          <w:rFonts w:ascii="Arial" w:cs="Arial" w:eastAsia="Arial" w:hAnsi="Arial"/>
          <w:color w:val="444444"/>
          <w:sz w:val="22"/>
          <w:szCs w:val="22"/>
        </w:rPr>
        <w:t xml:space="preserve">As the disc spins, the orbiting mass generates centripetal force:</w:t>
      </w:r>
    </w:p>
    <w:p>
      <w:pPr>
        <w:spacing w:after="60" w:before="60"/>
      </w:pPr>
      <w:r>
        <w:t xml:space="preserve"/>
      </w:r>
    </w:p>
    <w:p>
      <w:pPr>
        <w:shd w:fill="F4F6FA" w:val="clear"/>
        <w:spacing w:after="160" w:before="160"/>
        <w:jc w:val="center"/>
      </w:pPr>
      <w:r>
        <w:rPr>
          <w:rFonts w:ascii="Courier New" w:cs="Courier New" w:eastAsia="Courier New" w:hAnsi="Courier New"/>
          <w:b/>
          <w:bCs/>
          <w:color w:val="1B3A6B"/>
          <w:sz w:val="24"/>
          <w:szCs w:val="24"/>
        </w:rPr>
        <w:t xml:space="preserve">F = mω²r = 0.190 × ω² × 0.075</w:t>
      </w:r>
    </w:p>
    <w:p>
      <w:pPr>
        <w:spacing w:after="60" w:before="6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680"/>
        <w:gridCol w:w="4680"/>
      </w:tblGrid>
      <w:tr>
        <w:trPr>
          <w:tblHeader/>
        </w:trPr>
        <w:tc>
          <w:tcPr>
            <w:tcW w:type="dxa" w:w="4680"/>
            <w:tcBorders>
              <w:top w:val="single" w:color="1B3A6B" w:sz="1"/>
              <w:left w:val="single" w:color="1B3A6B" w:sz="1"/>
              <w:bottom w:val="single" w:color="1B3A6B" w:sz="1"/>
              <w:right w:val="single" w:color="1B3A6B" w:sz="1"/>
            </w:tcBorders>
            <w:shd w:fill="1B3A6B" w:val="clear"/>
            <w:tcMar>
              <w:top w:type="dxa" w:w="80"/>
              <w:left w:type="dxa" w:w="140"/>
              <w:bottom w:type="dxa" w:w="80"/>
              <w:right w:type="dxa" w:w="140"/>
            </w:tcMar>
          </w:tcPr>
          <w:p>
            <w:pPr>
              <w:jc w:val="center"/>
            </w:pPr>
            <w:r>
              <w:rPr>
                <w:rFonts w:ascii="Arial" w:cs="Arial" w:eastAsia="Arial" w:hAnsi="Arial"/>
                <w:b/>
                <w:bCs/>
                <w:color w:val="FFFFFF"/>
                <w:sz w:val="20"/>
                <w:szCs w:val="20"/>
              </w:rPr>
              <w:t xml:space="preserve">RPM</w:t>
            </w:r>
          </w:p>
        </w:tc>
        <w:tc>
          <w:tcPr>
            <w:tcW w:type="dxa" w:w="4680"/>
            <w:tcBorders>
              <w:top w:val="single" w:color="1B3A6B" w:sz="1"/>
              <w:left w:val="single" w:color="1B3A6B" w:sz="1"/>
              <w:bottom w:val="single" w:color="1B3A6B" w:sz="1"/>
              <w:right w:val="single" w:color="1B3A6B" w:sz="1"/>
            </w:tcBorders>
            <w:shd w:fill="1B3A6B" w:val="clear"/>
            <w:tcMar>
              <w:top w:type="dxa" w:w="80"/>
              <w:left w:type="dxa" w:w="140"/>
              <w:bottom w:type="dxa" w:w="80"/>
              <w:right w:type="dxa" w:w="140"/>
            </w:tcMar>
          </w:tcPr>
          <w:p>
            <w:pPr>
              <w:jc w:val="center"/>
            </w:pPr>
            <w:r>
              <w:rPr>
                <w:rFonts w:ascii="Arial" w:cs="Arial" w:eastAsia="Arial" w:hAnsi="Arial"/>
                <w:b/>
                <w:bCs/>
                <w:color w:val="FFFFFF"/>
                <w:sz w:val="20"/>
                <w:szCs w:val="20"/>
              </w:rPr>
              <w:t xml:space="preserve">Centripetal Force</w:t>
            </w:r>
          </w:p>
        </w:tc>
      </w:tr>
      <w:tr>
        <w:tc>
          <w:tcPr>
            <w:tcW w:type="dxa" w:w="4680"/>
            <w:tcBorders>
              <w:top w:val="single" w:color="BBCCE0" w:sz="1"/>
              <w:left w:val="single" w:color="BBCCE0" w:sz="1"/>
              <w:bottom w:val="single" w:color="BBCCE0" w:sz="1"/>
              <w:right w:val="single" w:color="BBCCE0" w:sz="1"/>
            </w:tcBorders>
            <w:shd w:fill="F4F6FA" w:val="clear"/>
            <w:tcMar>
              <w:top w:type="dxa" w:w="80"/>
              <w:left w:type="dxa" w:w="140"/>
              <w:bottom w:type="dxa" w:w="80"/>
              <w:right w:type="dxa" w:w="140"/>
            </w:tcMar>
          </w:tcPr>
          <w:p>
            <w:pPr>
              <w:jc w:val="center"/>
            </w:pPr>
            <w:r>
              <w:rPr>
                <w:rFonts w:ascii="Arial" w:cs="Arial" w:eastAsia="Arial" w:hAnsi="Arial"/>
                <w:color w:val="444444"/>
                <w:sz w:val="20"/>
                <w:szCs w:val="20"/>
              </w:rPr>
              <w:t xml:space="preserve">100</w:t>
            </w:r>
          </w:p>
        </w:tc>
        <w:tc>
          <w:tcPr>
            <w:tcW w:type="dxa" w:w="4680"/>
            <w:tcBorders>
              <w:top w:val="single" w:color="BBCCE0" w:sz="1"/>
              <w:left w:val="single" w:color="BBCCE0" w:sz="1"/>
              <w:bottom w:val="single" w:color="BBCCE0" w:sz="1"/>
              <w:right w:val="single" w:color="BBCCE0" w:sz="1"/>
            </w:tcBorders>
            <w:shd w:fill="F4F6FA" w:val="clear"/>
            <w:tcMar>
              <w:top w:type="dxa" w:w="80"/>
              <w:left w:type="dxa" w:w="140"/>
              <w:bottom w:type="dxa" w:w="80"/>
              <w:right w:type="dxa" w:w="140"/>
            </w:tcMar>
          </w:tcPr>
          <w:p>
            <w:pPr>
              <w:jc w:val="center"/>
            </w:pPr>
            <w:r>
              <w:rPr>
                <w:rFonts w:ascii="Arial" w:cs="Arial" w:eastAsia="Arial" w:hAnsi="Arial"/>
                <w:color w:val="444444"/>
                <w:sz w:val="20"/>
                <w:szCs w:val="20"/>
              </w:rPr>
              <w:t xml:space="preserve">2.1 N</w:t>
            </w:r>
          </w:p>
        </w:tc>
      </w:tr>
      <w:tr>
        <w:tc>
          <w:tcPr>
            <w:tcW w:type="dxa" w:w="4680"/>
            <w:tcBorders>
              <w:top w:val="single" w:color="BBCCE0" w:sz="1"/>
              <w:left w:val="single" w:color="BBCCE0" w:sz="1"/>
              <w:bottom w:val="single" w:color="BBCCE0" w:sz="1"/>
              <w:right w:val="single" w:color="BBCCE0" w:sz="1"/>
            </w:tcBorders>
            <w:shd w:fill="FFFFFF" w:val="clear"/>
            <w:tcMar>
              <w:top w:type="dxa" w:w="80"/>
              <w:left w:type="dxa" w:w="140"/>
              <w:bottom w:type="dxa" w:w="80"/>
              <w:right w:type="dxa" w:w="140"/>
            </w:tcMar>
          </w:tcPr>
          <w:p>
            <w:pPr>
              <w:jc w:val="center"/>
            </w:pPr>
            <w:r>
              <w:rPr>
                <w:rFonts w:ascii="Arial" w:cs="Arial" w:eastAsia="Arial" w:hAnsi="Arial"/>
                <w:color w:val="444444"/>
                <w:sz w:val="20"/>
                <w:szCs w:val="20"/>
              </w:rPr>
              <w:t xml:space="preserve">500</w:t>
            </w:r>
          </w:p>
        </w:tc>
        <w:tc>
          <w:tcPr>
            <w:tcW w:type="dxa" w:w="4680"/>
            <w:tcBorders>
              <w:top w:val="single" w:color="BBCCE0" w:sz="1"/>
              <w:left w:val="single" w:color="BBCCE0" w:sz="1"/>
              <w:bottom w:val="single" w:color="BBCCE0" w:sz="1"/>
              <w:right w:val="single" w:color="BBCCE0" w:sz="1"/>
            </w:tcBorders>
            <w:shd w:fill="FFFFFF" w:val="clear"/>
            <w:tcMar>
              <w:top w:type="dxa" w:w="80"/>
              <w:left w:type="dxa" w:w="140"/>
              <w:bottom w:type="dxa" w:w="80"/>
              <w:right w:type="dxa" w:w="140"/>
            </w:tcMar>
          </w:tcPr>
          <w:p>
            <w:pPr>
              <w:jc w:val="center"/>
            </w:pPr>
            <w:r>
              <w:rPr>
                <w:rFonts w:ascii="Arial" w:cs="Arial" w:eastAsia="Arial" w:hAnsi="Arial"/>
                <w:color w:val="444444"/>
                <w:sz w:val="20"/>
                <w:szCs w:val="20"/>
              </w:rPr>
              <w:t xml:space="preserve">39 N</w:t>
            </w:r>
          </w:p>
        </w:tc>
      </w:tr>
      <w:tr>
        <w:tc>
          <w:tcPr>
            <w:tcW w:type="dxa" w:w="4680"/>
            <w:tcBorders>
              <w:top w:val="single" w:color="BBCCE0" w:sz="1"/>
              <w:left w:val="single" w:color="BBCCE0" w:sz="1"/>
              <w:bottom w:val="single" w:color="BBCCE0" w:sz="1"/>
              <w:right w:val="single" w:color="BBCCE0" w:sz="1"/>
            </w:tcBorders>
            <w:shd w:fill="F4F6FA" w:val="clear"/>
            <w:tcMar>
              <w:top w:type="dxa" w:w="80"/>
              <w:left w:type="dxa" w:w="140"/>
              <w:bottom w:type="dxa" w:w="80"/>
              <w:right w:type="dxa" w:w="140"/>
            </w:tcMar>
          </w:tcPr>
          <w:p>
            <w:pPr>
              <w:jc w:val="center"/>
            </w:pPr>
            <w:r>
              <w:rPr>
                <w:rFonts w:ascii="Arial" w:cs="Arial" w:eastAsia="Arial" w:hAnsi="Arial"/>
                <w:color w:val="444444"/>
                <w:sz w:val="20"/>
                <w:szCs w:val="20"/>
              </w:rPr>
              <w:t xml:space="preserve">1000</w:t>
            </w:r>
          </w:p>
        </w:tc>
        <w:tc>
          <w:tcPr>
            <w:tcW w:type="dxa" w:w="4680"/>
            <w:tcBorders>
              <w:top w:val="single" w:color="BBCCE0" w:sz="1"/>
              <w:left w:val="single" w:color="BBCCE0" w:sz="1"/>
              <w:bottom w:val="single" w:color="BBCCE0" w:sz="1"/>
              <w:right w:val="single" w:color="BBCCE0" w:sz="1"/>
            </w:tcBorders>
            <w:shd w:fill="F4F6FA" w:val="clear"/>
            <w:tcMar>
              <w:top w:type="dxa" w:w="80"/>
              <w:left w:type="dxa" w:w="140"/>
              <w:bottom w:type="dxa" w:w="80"/>
              <w:right w:type="dxa" w:w="140"/>
            </w:tcMar>
          </w:tcPr>
          <w:p>
            <w:pPr>
              <w:jc w:val="center"/>
            </w:pPr>
            <w:r>
              <w:rPr>
                <w:rFonts w:ascii="Arial" w:cs="Arial" w:eastAsia="Arial" w:hAnsi="Arial"/>
                <w:color w:val="444444"/>
                <w:sz w:val="20"/>
                <w:szCs w:val="20"/>
              </w:rPr>
              <w:t xml:space="preserve">156 N</w:t>
            </w:r>
          </w:p>
        </w:tc>
      </w:tr>
      <w:tr>
        <w:tc>
          <w:tcPr>
            <w:tcW w:type="dxa" w:w="4680"/>
            <w:tcBorders>
              <w:top w:val="single" w:color="BBCCE0" w:sz="1"/>
              <w:left w:val="single" w:color="BBCCE0" w:sz="1"/>
              <w:bottom w:val="single" w:color="BBCCE0" w:sz="1"/>
              <w:right w:val="single" w:color="BBCCE0" w:sz="1"/>
            </w:tcBorders>
            <w:shd w:fill="FFFFFF" w:val="clear"/>
            <w:tcMar>
              <w:top w:type="dxa" w:w="80"/>
              <w:left w:type="dxa" w:w="140"/>
              <w:bottom w:type="dxa" w:w="80"/>
              <w:right w:type="dxa" w:w="140"/>
            </w:tcMar>
          </w:tcPr>
          <w:p>
            <w:pPr>
              <w:jc w:val="center"/>
            </w:pPr>
            <w:r>
              <w:rPr>
                <w:rFonts w:ascii="Arial" w:cs="Arial" w:eastAsia="Arial" w:hAnsi="Arial"/>
                <w:color w:val="444444"/>
                <w:sz w:val="20"/>
                <w:szCs w:val="20"/>
              </w:rPr>
              <w:t xml:space="preserve">2000</w:t>
            </w:r>
          </w:p>
        </w:tc>
        <w:tc>
          <w:tcPr>
            <w:tcW w:type="dxa" w:w="4680"/>
            <w:tcBorders>
              <w:top w:val="single" w:color="BBCCE0" w:sz="1"/>
              <w:left w:val="single" w:color="BBCCE0" w:sz="1"/>
              <w:bottom w:val="single" w:color="BBCCE0" w:sz="1"/>
              <w:right w:val="single" w:color="BBCCE0" w:sz="1"/>
            </w:tcBorders>
            <w:shd w:fill="FFFFFF" w:val="clear"/>
            <w:tcMar>
              <w:top w:type="dxa" w:w="80"/>
              <w:left w:type="dxa" w:w="140"/>
              <w:bottom w:type="dxa" w:w="80"/>
              <w:right w:type="dxa" w:w="140"/>
            </w:tcMar>
          </w:tcPr>
          <w:p>
            <w:pPr>
              <w:jc w:val="center"/>
            </w:pPr>
            <w:r>
              <w:rPr>
                <w:rFonts w:ascii="Arial" w:cs="Arial" w:eastAsia="Arial" w:hAnsi="Arial"/>
                <w:color w:val="444444"/>
                <w:sz w:val="20"/>
                <w:szCs w:val="20"/>
              </w:rPr>
              <w:t xml:space="preserve">624 N</w:t>
            </w:r>
          </w:p>
        </w:tc>
      </w:tr>
      <w:tr>
        <w:tc>
          <w:tcPr>
            <w:tcW w:type="dxa" w:w="4680"/>
            <w:tcBorders>
              <w:top w:val="single" w:color="BBCCE0" w:sz="1"/>
              <w:left w:val="single" w:color="BBCCE0" w:sz="1"/>
              <w:bottom w:val="single" w:color="BBCCE0" w:sz="1"/>
              <w:right w:val="single" w:color="BBCCE0" w:sz="1"/>
            </w:tcBorders>
            <w:shd w:fill="F4F6FA" w:val="clear"/>
            <w:tcMar>
              <w:top w:type="dxa" w:w="80"/>
              <w:left w:type="dxa" w:w="140"/>
              <w:bottom w:type="dxa" w:w="80"/>
              <w:right w:type="dxa" w:w="140"/>
            </w:tcMar>
          </w:tcPr>
          <w:p>
            <w:pPr>
              <w:jc w:val="center"/>
            </w:pPr>
            <w:r>
              <w:rPr>
                <w:rFonts w:ascii="Arial" w:cs="Arial" w:eastAsia="Arial" w:hAnsi="Arial"/>
                <w:color w:val="444444"/>
                <w:sz w:val="20"/>
                <w:szCs w:val="20"/>
              </w:rPr>
              <w:t xml:space="preserve">3000</w:t>
            </w:r>
          </w:p>
        </w:tc>
        <w:tc>
          <w:tcPr>
            <w:tcW w:type="dxa" w:w="4680"/>
            <w:tcBorders>
              <w:top w:val="single" w:color="BBCCE0" w:sz="1"/>
              <w:left w:val="single" w:color="BBCCE0" w:sz="1"/>
              <w:bottom w:val="single" w:color="BBCCE0" w:sz="1"/>
              <w:right w:val="single" w:color="BBCCE0" w:sz="1"/>
            </w:tcBorders>
            <w:shd w:fill="F4F6FA" w:val="clear"/>
            <w:tcMar>
              <w:top w:type="dxa" w:w="80"/>
              <w:left w:type="dxa" w:w="140"/>
              <w:bottom w:type="dxa" w:w="80"/>
              <w:right w:type="dxa" w:w="140"/>
            </w:tcMar>
          </w:tcPr>
          <w:p>
            <w:pPr>
              <w:jc w:val="center"/>
            </w:pPr>
            <w:r>
              <w:rPr>
                <w:rFonts w:ascii="Arial" w:cs="Arial" w:eastAsia="Arial" w:hAnsi="Arial"/>
                <w:color w:val="444444"/>
                <w:sz w:val="20"/>
                <w:szCs w:val="20"/>
              </w:rPr>
              <w:t xml:space="preserve">1,403 N</w:t>
            </w:r>
          </w:p>
        </w:tc>
      </w:tr>
    </w:tbl>
    <w:p>
      <w:pPr>
        <w:spacing w:after="60" w:before="60"/>
      </w:pPr>
      <w:r>
        <w:t xml:space="preserve"/>
      </w:r>
    </w:p>
    <w:p>
      <w:pPr>
        <w:spacing w:after="120" w:before="80"/>
      </w:pPr>
      <w:r>
        <w:rPr>
          <w:rFonts w:ascii="Arial" w:cs="Arial" w:eastAsia="Arial" w:hAnsi="Arial"/>
          <w:color w:val="444444"/>
          <w:sz w:val="22"/>
          <w:szCs w:val="22"/>
        </w:rPr>
        <w:t xml:space="preserve">This force grows with the square of RPM. Doubling the speed quadruples the available force. The input force — the pencil against the disc rim — does not change. It is constant. The geometry does the rest.</w:t>
      </w:r>
    </w:p>
    <w:p>
      <w:pPr>
        <w:spacing w:after="60" w:before="60"/>
      </w:pPr>
      <w:r>
        <w:t xml:space="preserve"/>
      </w:r>
    </w:p>
    <w:p>
      <w:pPr>
        <w:pStyle w:val="Heading2"/>
        <w:spacing w:after="100" w:before="280"/>
      </w:pPr>
      <w:r>
        <w:rPr>
          <w:rFonts w:ascii="Arial" w:cs="Arial" w:eastAsia="Arial" w:hAnsi="Arial"/>
          <w:b/>
          <w:bCs/>
          <w:color w:val="2E5FA3"/>
          <w:sz w:val="26"/>
          <w:szCs w:val="26"/>
        </w:rPr>
        <w:t xml:space="preserve">5.3 The Double Dip</w:t>
      </w:r>
    </w:p>
    <w:p>
      <w:pPr>
        <w:spacing w:after="120" w:before="80"/>
      </w:pPr>
      <w:r>
        <w:rPr>
          <w:rFonts w:ascii="Arial" w:cs="Arial" w:eastAsia="Arial" w:hAnsi="Arial"/>
          <w:color w:val="444444"/>
          <w:sz w:val="22"/>
          <w:szCs w:val="22"/>
        </w:rPr>
        <w:t xml:space="preserve">The orbiting mass, matched to the crank bend geometry, builds centripetal force as speed rises. That growing centripetal force drives the output through the bent crank. But the output shaft is spinning fast — it has accumulated RPM. Gear the output down to the load speed and the torque available at the load is the output force multiplied by the gear ratio.</w:t>
      </w:r>
    </w:p>
    <w:p>
      <w:pPr>
        <w:spacing w:after="60" w:before="60"/>
      </w:pPr>
      <w:r>
        <w:t xml:space="preserve"/>
      </w:r>
    </w:p>
    <w:p>
      <w:pPr>
        <w:spacing w:after="120" w:before="80"/>
      </w:pPr>
      <w:r>
        <w:rPr>
          <w:rFonts w:ascii="Arial" w:cs="Arial" w:eastAsia="Arial" w:hAnsi="Arial"/>
          <w:color w:val="444444"/>
          <w:sz w:val="22"/>
          <w:szCs w:val="22"/>
        </w:rPr>
        <w:t xml:space="preserve">The input paid a constant small force per revolution. The geometry converted that into growing centripetal force. The gearing converted that into large torque at the load. Three transformations, all from the same constant pencil-force entry point.</w:t>
      </w:r>
    </w:p>
    <w:p>
      <w:pPr>
        <w:spacing w:after="60" w:before="60"/>
      </w:pPr>
      <w:r>
        <w:t xml:space="preserve"/>
      </w:r>
    </w:p>
    <w:p>
      <w:pPr>
        <w:pStyle w:val="Heading2"/>
        <w:spacing w:after="100" w:before="280"/>
      </w:pPr>
      <w:r>
        <w:rPr>
          <w:rFonts w:ascii="Arial" w:cs="Arial" w:eastAsia="Arial" w:hAnsi="Arial"/>
          <w:b/>
          <w:bCs/>
          <w:color w:val="2E5FA3"/>
          <w:sz w:val="26"/>
          <w:szCs w:val="26"/>
        </w:rPr>
        <w:t xml:space="preserve">5.4 The Test Result</w:t>
      </w:r>
    </w:p>
    <w:p>
      <w:pPr>
        <w:spacing w:after="120" w:before="80"/>
      </w:pPr>
      <w:r>
        <w:rPr>
          <w:rFonts w:ascii="Arial" w:cs="Arial" w:eastAsia="Arial" w:hAnsi="Arial"/>
          <w:color w:val="444444"/>
          <w:sz w:val="22"/>
          <w:szCs w:val="22"/>
        </w:rPr>
        <w:t xml:space="preserve">When the operator became skilled at spinning the input disc with a pencil, the output shaft on the 20mm disc generated enough torque to cause painful heat through finger friction when squeezed to resist it. The input was a casually held pencil. The output was enough to hurt.</w:t>
      </w:r>
    </w:p>
    <w:p>
      <w:pPr>
        <w:spacing w:after="60" w:before="60"/>
      </w:pPr>
      <w:r>
        <w:t xml:space="preserve"/>
      </w:r>
    </w:p>
    <w:p>
      <w:pPr>
        <w:pBdr>
          <w:left w:val="single" w:color="C8730A" w:sz="16" w:space="8"/>
        </w:pBdr>
        <w:shd w:fill="FFF4E8" w:val="clear"/>
        <w:spacing w:after="160" w:before="160"/>
        <w:ind w:left="560" w:right="560"/>
      </w:pPr>
      <w:r>
        <w:rPr>
          <w:rFonts w:ascii="Arial" w:cs="Arial" w:eastAsia="Arial" w:hAnsi="Arial"/>
          <w:b/>
          <w:bCs/>
          <w:i/>
          <w:iCs/>
          <w:color w:val="C8730A"/>
          <w:sz w:val="22"/>
          <w:szCs w:val="22"/>
        </w:rPr>
        <w:t xml:space="preserve">No instruments were needed. The operator’s fingers were the dynamometer. The result was unambiguous.</w:t>
      </w:r>
    </w:p>
    <w:p>
      <w:pPr>
        <w:spacing w:after="60" w:before="60"/>
      </w:pPr>
      <w:r>
        <w:t xml:space="preserve"/>
      </w:r>
    </w:p>
    <w:p>
      <w:pPr>
        <w:pStyle w:val="Heading2"/>
        <w:spacing w:after="100" w:before="280"/>
      </w:pPr>
      <w:r>
        <w:rPr>
          <w:rFonts w:ascii="Arial" w:cs="Arial" w:eastAsia="Arial" w:hAnsi="Arial"/>
          <w:b/>
          <w:bCs/>
          <w:color w:val="2E5FA3"/>
          <w:sz w:val="26"/>
          <w:szCs w:val="26"/>
        </w:rPr>
        <w:t xml:space="preserve">5.5 What This Demonstrates</w:t>
      </w:r>
    </w:p>
    <w:p>
      <w:pPr>
        <w:spacing w:after="120" w:before="80"/>
      </w:pPr>
      <w:r>
        <w:rPr>
          <w:rFonts w:ascii="Arial" w:cs="Arial" w:eastAsia="Arial" w:hAnsi="Arial"/>
          <w:color w:val="444444"/>
          <w:sz w:val="22"/>
          <w:szCs w:val="22"/>
        </w:rPr>
        <w:t xml:space="preserve">The centripetal test bed is not a violation of conservation. Every joule that comes out went in — accumulated over many revolutions of the small constant input force, stored as rotational kinetic energy in the orbiting mass, and extracted through the geometry of the bent crank and the gear reduction.</w:t>
      </w:r>
    </w:p>
    <w:p>
      <w:pPr>
        <w:spacing w:after="60" w:before="60"/>
      </w:pPr>
      <w:r>
        <w:t xml:space="preserve"/>
      </w:r>
    </w:p>
    <w:p>
      <w:pPr>
        <w:spacing w:after="120" w:before="80"/>
      </w:pPr>
      <w:r>
        <w:rPr>
          <w:rFonts w:ascii="Arial" w:cs="Arial" w:eastAsia="Arial" w:hAnsi="Arial"/>
          <w:color w:val="444444"/>
          <w:sz w:val="22"/>
          <w:szCs w:val="22"/>
        </w:rPr>
        <w:t xml:space="preserve">What it demonstrates is entry and exit point selection. The entry point is cheap — a small tangential force at the disc rim. The exit point is productive — where the geometry has already done the work of building speed and the gearing has converted it to torque. Nature chose the path. The designer chose where to stand.</w:t>
      </w:r>
    </w:p>
    <w:p>
      <w:pPr>
        <w:spacing w:after="60" w:before="60"/>
      </w:pPr>
      <w:r>
        <w:t xml:space="preserve"/>
      </w:r>
    </w:p>
    <w:p>
      <w:pPr>
        <w:pBdr>
          <w:bottom w:val="single" w:color="2E5FA3" w:sz="6" w:space="1"/>
        </w:pBdr>
        <w:spacing w:after="160" w:before="160"/>
      </w:pPr>
      <w:r>
        <w:t xml:space="preserve"/>
      </w:r>
    </w:p>
    <w:p>
      <w:pPr>
        <w:pStyle w:val="Heading1"/>
        <w:spacing w:after="140" w:before="400"/>
      </w:pPr>
      <w:r>
        <w:rPr>
          <w:rFonts w:ascii="Arial" w:cs="Arial" w:eastAsia="Arial" w:hAnsi="Arial"/>
          <w:b/>
          <w:bCs/>
          <w:color w:val="1B3A6B"/>
          <w:sz w:val="34"/>
          <w:szCs w:val="34"/>
        </w:rPr>
        <w:t xml:space="preserve">6. General Principles</w:t>
      </w:r>
    </w:p>
    <w:p>
      <w:pPr>
        <w:spacing w:after="60" w:before="60"/>
      </w:pPr>
      <w:r>
        <w:t xml:space="preserve"/>
      </w:r>
    </w:p>
    <w:p>
      <w:pPr>
        <w:pStyle w:val="Heading2"/>
        <w:spacing w:after="100" w:before="280"/>
      </w:pPr>
      <w:r>
        <w:rPr>
          <w:rFonts w:ascii="Arial" w:cs="Arial" w:eastAsia="Arial" w:hAnsi="Arial"/>
          <w:b/>
          <w:bCs/>
          <w:color w:val="2E5FA3"/>
          <w:sz w:val="26"/>
          <w:szCs w:val="26"/>
        </w:rPr>
        <w:t xml:space="preserve">6.1 The True Moment Arm</w:t>
      </w:r>
    </w:p>
    <w:p>
      <w:pPr>
        <w:spacing w:after="120" w:before="80"/>
      </w:pPr>
      <w:r>
        <w:rPr>
          <w:rFonts w:ascii="Arial" w:cs="Arial" w:eastAsia="Arial" w:hAnsi="Arial"/>
          <w:color w:val="444444"/>
          <w:sz w:val="22"/>
          <w:szCs w:val="22"/>
        </w:rPr>
        <w:t xml:space="preserve">The most common error in mechanical advantage calculations is using the wrong moment arm for the input. Constrained non-rotating elements contribute their full geometry to the force path even though they do not move. The sun gear in the planetary example is stationary but its pitch radius is fully active as a moment arm. Failing to include it produces errors proportional to the ratio of that radius to whatever was incorrectly substituted.</w:t>
      </w:r>
    </w:p>
    <w:p>
      <w:pPr>
        <w:spacing w:after="60" w:before="60"/>
      </w:pPr>
      <w:r>
        <w:t xml:space="preserve"/>
      </w:r>
    </w:p>
    <w:p>
      <w:pPr>
        <w:pStyle w:val="Heading2"/>
        <w:spacing w:after="100" w:before="280"/>
      </w:pPr>
      <w:r>
        <w:rPr>
          <w:rFonts w:ascii="Arial" w:cs="Arial" w:eastAsia="Arial" w:hAnsi="Arial"/>
          <w:b/>
          <w:bCs/>
          <w:color w:val="2E5FA3"/>
          <w:sz w:val="26"/>
          <w:szCs w:val="26"/>
        </w:rPr>
        <w:t xml:space="preserve">6.2 Stationary Reactions Are Outside the Function</w:t>
      </w:r>
    </w:p>
    <w:p>
      <w:pPr>
        <w:spacing w:after="120" w:before="80"/>
      </w:pPr>
      <w:r>
        <w:rPr>
          <w:rFonts w:ascii="Arial" w:cs="Arial" w:eastAsia="Arial" w:hAnsi="Arial"/>
          <w:color w:val="444444"/>
          <w:sz w:val="22"/>
          <w:szCs w:val="22"/>
        </w:rPr>
        <w:t xml:space="preserve">Any force or torque that acts through zero displacement is outside the Work Transfer Function. It must be designed for structurally but it does not appear in the energy balance. The test is simple: does the point of application move? If not, the force at that point is structural only.</w:t>
      </w:r>
    </w:p>
    <w:p>
      <w:pPr>
        <w:spacing w:after="60" w:before="60"/>
      </w:pPr>
      <w:r>
        <w:t xml:space="preserve"/>
      </w:r>
    </w:p>
    <w:p>
      <w:pPr>
        <w:pStyle w:val="Heading2"/>
        <w:spacing w:after="100" w:before="280"/>
      </w:pPr>
      <w:r>
        <w:rPr>
          <w:rFonts w:ascii="Arial" w:cs="Arial" w:eastAsia="Arial" w:hAnsi="Arial"/>
          <w:b/>
          <w:bCs/>
          <w:color w:val="2E5FA3"/>
          <w:sz w:val="26"/>
          <w:szCs w:val="26"/>
        </w:rPr>
        <w:t xml:space="preserve">6.3 Direction of Analysis Is Arbitrary</w:t>
      </w:r>
    </w:p>
    <w:p>
      <w:pPr>
        <w:spacing w:after="120" w:before="80"/>
      </w:pPr>
      <w:r>
        <w:rPr>
          <w:rFonts w:ascii="Arial" w:cs="Arial" w:eastAsia="Arial" w:hAnsi="Arial"/>
          <w:color w:val="444444"/>
          <w:sz w:val="22"/>
          <w:szCs w:val="22"/>
        </w:rPr>
        <w:t xml:space="preserve">An ideal mechanism has no preferred direction of energy flow. The Work Transfer Function maps force and displacement between any two points in either direction. If a mechanism appears to violate conservation when analysed in one direction, the correct response is not to look for a hidden energy source. It is to re-examine whether the true moment arms and displacements have been correctly identified.</w:t>
      </w:r>
    </w:p>
    <w:p>
      <w:pPr>
        <w:spacing w:after="60" w:before="60"/>
      </w:pPr>
      <w:r>
        <w:t xml:space="preserve"/>
      </w:r>
    </w:p>
    <w:p>
      <w:pPr>
        <w:pStyle w:val="Heading2"/>
        <w:spacing w:after="100" w:before="280"/>
      </w:pPr>
      <w:r>
        <w:rPr>
          <w:rFonts w:ascii="Arial" w:cs="Arial" w:eastAsia="Arial" w:hAnsi="Arial"/>
          <w:b/>
          <w:bCs/>
          <w:color w:val="2E5FA3"/>
          <w:sz w:val="26"/>
          <w:szCs w:val="26"/>
        </w:rPr>
        <w:t xml:space="preserve">6.4 The Kinematic Chain Is the Function</w:t>
      </w:r>
    </w:p>
    <w:p>
      <w:pPr>
        <w:spacing w:after="120" w:before="80"/>
      </w:pPr>
      <w:r>
        <w:rPr>
          <w:rFonts w:ascii="Arial" w:cs="Arial" w:eastAsia="Arial" w:hAnsi="Arial"/>
          <w:color w:val="444444"/>
          <w:sz w:val="22"/>
          <w:szCs w:val="22"/>
        </w:rPr>
        <w:t xml:space="preserve">The velocity ratio between any two points — a pure kinematic quantity — is the inverse of the force ratio between those same points. Compute the kinematics correctly and the force transfer follows without independent calculation.</w:t>
      </w:r>
    </w:p>
    <w:p>
      <w:pPr>
        <w:spacing w:after="60" w:before="60"/>
      </w:pPr>
      <w:r>
        <w:t xml:space="preserve"/>
      </w:r>
    </w:p>
    <w:p>
      <w:pPr>
        <w:shd w:fill="F4F6FA" w:val="clear"/>
        <w:spacing w:after="160" w:before="160"/>
        <w:jc w:val="center"/>
      </w:pPr>
      <w:r>
        <w:rPr>
          <w:rFonts w:ascii="Courier New" w:cs="Courier New" w:eastAsia="Courier New" w:hAnsi="Courier New"/>
          <w:b/>
          <w:bCs/>
          <w:color w:val="1B3A6B"/>
          <w:sz w:val="24"/>
          <w:szCs w:val="24"/>
        </w:rPr>
        <w:t xml:space="preserve">F₁ / F₂ = v₂ / v₁  (for any two points in an ideal mechanism)</w:t>
      </w:r>
    </w:p>
    <w:p>
      <w:pPr>
        <w:spacing w:after="60" w:before="60"/>
      </w:pPr>
      <w:r>
        <w:t xml:space="preserve"/>
      </w:r>
    </w:p>
    <w:p>
      <w:pPr>
        <w:pBdr>
          <w:bottom w:val="single" w:color="2E5FA3" w:sz="6" w:space="1"/>
        </w:pBdr>
        <w:spacing w:after="160" w:before="160"/>
      </w:pPr>
      <w:r>
        <w:t xml:space="preserve"/>
      </w:r>
    </w:p>
    <w:p>
      <w:pPr>
        <w:pStyle w:val="Heading1"/>
        <w:spacing w:after="140" w:before="400"/>
      </w:pPr>
      <w:r>
        <w:rPr>
          <w:rFonts w:ascii="Arial" w:cs="Arial" w:eastAsia="Arial" w:hAnsi="Arial"/>
          <w:b/>
          <w:bCs/>
          <w:color w:val="1B3A6B"/>
          <w:sz w:val="34"/>
          <w:szCs w:val="34"/>
        </w:rPr>
        <w:t xml:space="preserve">7. Application Methodology</w:t>
      </w:r>
    </w:p>
    <w:p>
      <w:pPr>
        <w:spacing w:after="120" w:before="80"/>
      </w:pPr>
      <w:r>
        <w:rPr>
          <w:rFonts w:ascii="Arial" w:cs="Arial" w:eastAsia="Arial" w:hAnsi="Arial"/>
          <w:color w:val="444444"/>
          <w:sz w:val="22"/>
          <w:szCs w:val="22"/>
        </w:rPr>
        <w:t xml:space="preserve">When analysing any mechanical system using the Work Transfer Function framework:</w:t>
      </w:r>
    </w:p>
    <w:p>
      <w:pPr>
        <w:spacing w:after="60" w:before="60"/>
      </w:pPr>
      <w:r>
        <w:t xml:space="preserve"/>
      </w:r>
    </w:p>
    <w:p>
      <w:pPr>
        <w:spacing w:after="80" w:before="200"/>
      </w:pPr>
      <w:r>
        <w:rPr>
          <w:rFonts w:ascii="Arial" w:cs="Arial" w:eastAsia="Arial" w:hAnsi="Arial"/>
          <w:b/>
          <w:bCs/>
          <w:color w:val="C8730A"/>
          <w:sz w:val="22"/>
          <w:szCs w:val="22"/>
        </w:rPr>
        <w:t xml:space="preserve">Step 1 — Geometry First</w:t>
      </w:r>
    </w:p>
    <w:p>
      <w:pPr>
        <w:spacing w:after="120" w:before="80"/>
      </w:pPr>
      <w:r>
        <w:rPr>
          <w:rFonts w:ascii="Arial" w:cs="Arial" w:eastAsia="Arial" w:hAnsi="Arial"/>
          <w:color w:val="444444"/>
          <w:sz w:val="22"/>
          <w:szCs w:val="22"/>
        </w:rPr>
        <w:t xml:space="preserve">Establish all dimensions, radii, lever arms, and link lengths before touching force or energy. The geometry determines everything that follows. Do not apply conservation as a filter at this stage — let the geometry speak first.</w:t>
      </w:r>
    </w:p>
    <w:p>
      <w:pPr>
        <w:spacing w:after="60" w:before="60"/>
      </w:pPr>
      <w:r>
        <w:t xml:space="preserve"/>
      </w:r>
    </w:p>
    <w:p>
      <w:pPr>
        <w:spacing w:after="80" w:before="200"/>
      </w:pPr>
      <w:r>
        <w:rPr>
          <w:rFonts w:ascii="Arial" w:cs="Arial" w:eastAsia="Arial" w:hAnsi="Arial"/>
          <w:b/>
          <w:bCs/>
          <w:color w:val="C8730A"/>
          <w:sz w:val="22"/>
          <w:szCs w:val="22"/>
        </w:rPr>
        <w:t xml:space="preserve">Step 2 — Kinematics Second</w:t>
      </w:r>
    </w:p>
    <w:p>
      <w:pPr>
        <w:spacing w:after="120" w:before="80"/>
      </w:pPr>
      <w:r>
        <w:rPr>
          <w:rFonts w:ascii="Arial" w:cs="Arial" w:eastAsia="Arial" w:hAnsi="Arial"/>
          <w:color w:val="444444"/>
          <w:sz w:val="22"/>
          <w:szCs w:val="22"/>
        </w:rPr>
        <w:t xml:space="preserve">Derive the velocity ratio between the points of interest. Identify every displacement path, including those through constrained non-rotating elements. The velocity ratio is the inverse of the force ratio.</w:t>
      </w:r>
    </w:p>
    <w:p>
      <w:pPr>
        <w:spacing w:after="60" w:before="60"/>
      </w:pPr>
      <w:r>
        <w:t xml:space="preserve"/>
      </w:r>
    </w:p>
    <w:p>
      <w:pPr>
        <w:spacing w:after="80" w:before="200"/>
      </w:pPr>
      <w:r>
        <w:rPr>
          <w:rFonts w:ascii="Arial" w:cs="Arial" w:eastAsia="Arial" w:hAnsi="Arial"/>
          <w:b/>
          <w:bCs/>
          <w:color w:val="C8730A"/>
          <w:sz w:val="22"/>
          <w:szCs w:val="22"/>
        </w:rPr>
        <w:t xml:space="preserve">Step 3 — Identify the True Moment Arms</w:t>
      </w:r>
    </w:p>
    <w:p>
      <w:pPr>
        <w:spacing w:after="120" w:before="80"/>
      </w:pPr>
      <w:r>
        <w:rPr>
          <w:rFonts w:ascii="Arial" w:cs="Arial" w:eastAsia="Arial" w:hAnsi="Arial"/>
          <w:color w:val="444444"/>
          <w:sz w:val="22"/>
          <w:szCs w:val="22"/>
        </w:rPr>
        <w:t xml:space="preserve">For each point of force application, identify the true perpendicular moment arm. Pay particular attention to constrained elements — their geometry contributes to the moment arm even though they do not move.</w:t>
      </w:r>
    </w:p>
    <w:p>
      <w:pPr>
        <w:spacing w:after="60" w:before="60"/>
      </w:pPr>
      <w:r>
        <w:t xml:space="preserve"/>
      </w:r>
    </w:p>
    <w:p>
      <w:pPr>
        <w:spacing w:after="80" w:before="200"/>
      </w:pPr>
      <w:r>
        <w:rPr>
          <w:rFonts w:ascii="Arial" w:cs="Arial" w:eastAsia="Arial" w:hAnsi="Arial"/>
          <w:b/>
          <w:bCs/>
          <w:color w:val="C8730A"/>
          <w:sz w:val="22"/>
          <w:szCs w:val="22"/>
        </w:rPr>
        <w:t xml:space="preserve">Step 4 — Identify Stationary Reactions</w:t>
      </w:r>
    </w:p>
    <w:p>
      <w:pPr>
        <w:spacing w:after="120" w:before="80"/>
      </w:pPr>
      <w:r>
        <w:rPr>
          <w:rFonts w:ascii="Arial" w:cs="Arial" w:eastAsia="Arial" w:hAnsi="Arial"/>
          <w:color w:val="444444"/>
          <w:sz w:val="22"/>
          <w:szCs w:val="22"/>
        </w:rPr>
        <w:t xml:space="preserve">List every reaction force. For each one, determine whether its point of application moves. If it does not move, remove it from the energy balance. It is structural only.</w:t>
      </w:r>
    </w:p>
    <w:p>
      <w:pPr>
        <w:spacing w:after="60" w:before="60"/>
      </w:pPr>
      <w:r>
        <w:t xml:space="preserve"/>
      </w:r>
    </w:p>
    <w:p>
      <w:pPr>
        <w:spacing w:after="80" w:before="200"/>
      </w:pPr>
      <w:r>
        <w:rPr>
          <w:rFonts w:ascii="Arial" w:cs="Arial" w:eastAsia="Arial" w:hAnsi="Arial"/>
          <w:b/>
          <w:bCs/>
          <w:color w:val="C8730A"/>
          <w:sz w:val="22"/>
          <w:szCs w:val="22"/>
        </w:rPr>
        <w:t xml:space="preserve">Step 5 — Identify the Anchor</w:t>
      </w:r>
    </w:p>
    <w:p>
      <w:pPr>
        <w:spacing w:after="120" w:before="80"/>
      </w:pPr>
      <w:r>
        <w:rPr>
          <w:rFonts w:ascii="Arial" w:cs="Arial" w:eastAsia="Arial" w:hAnsi="Arial"/>
          <w:color w:val="444444"/>
          <w:sz w:val="22"/>
          <w:szCs w:val="22"/>
        </w:rPr>
        <w:t xml:space="preserve">Determine which element sets the load for the entire system. That load, propagated through the geometry, determines every force and displacement in the system. There are no other independent variables.</w:t>
      </w:r>
    </w:p>
    <w:p>
      <w:pPr>
        <w:spacing w:after="60" w:before="60"/>
      </w:pPr>
      <w:r>
        <w:t xml:space="preserve"/>
      </w:r>
    </w:p>
    <w:p>
      <w:pPr>
        <w:spacing w:after="80" w:before="200"/>
      </w:pPr>
      <w:r>
        <w:rPr>
          <w:rFonts w:ascii="Arial" w:cs="Arial" w:eastAsia="Arial" w:hAnsi="Arial"/>
          <w:b/>
          <w:bCs/>
          <w:color w:val="C8730A"/>
          <w:sz w:val="22"/>
          <w:szCs w:val="22"/>
        </w:rPr>
        <w:t xml:space="preserve">Step 6 — Verify Conservation</w:t>
      </w:r>
    </w:p>
    <w:p>
      <w:pPr>
        <w:spacing w:after="120" w:before="80"/>
      </w:pPr>
      <w:r>
        <w:rPr>
          <w:rFonts w:ascii="Arial" w:cs="Arial" w:eastAsia="Arial" w:hAnsi="Arial"/>
          <w:color w:val="444444"/>
          <w:sz w:val="22"/>
          <w:szCs w:val="22"/>
        </w:rPr>
        <w:t xml:space="preserve">Compute input and output work. They must be equal in an ideal system. If they are not, the error is in the geometry or kinematics — not in the physics. Return to Step 1.</w:t>
      </w:r>
    </w:p>
    <w:p>
      <w:pPr>
        <w:spacing w:after="60" w:before="60"/>
      </w:pPr>
      <w:r>
        <w:t xml:space="preserve"/>
      </w:r>
    </w:p>
    <w:p>
      <w:pPr>
        <w:pBdr>
          <w:bottom w:val="single" w:color="2E5FA3" w:sz="6" w:space="1"/>
        </w:pBdr>
        <w:spacing w:after="160" w:before="160"/>
      </w:pPr>
      <w:r>
        <w:t xml:space="preserve"/>
      </w:r>
    </w:p>
    <w:p>
      <w:pPr>
        <w:pStyle w:val="Heading1"/>
        <w:spacing w:after="140" w:before="400"/>
      </w:pPr>
      <w:r>
        <w:rPr>
          <w:rFonts w:ascii="Arial" w:cs="Arial" w:eastAsia="Arial" w:hAnsi="Arial"/>
          <w:b/>
          <w:bCs/>
          <w:color w:val="1B3A6B"/>
          <w:sz w:val="34"/>
          <w:szCs w:val="34"/>
        </w:rPr>
        <w:t xml:space="preserve">8. Summary</w:t>
      </w:r>
    </w:p>
    <w:p>
      <w:pPr>
        <w:spacing w:after="60" w:before="60"/>
      </w:pPr>
      <w:r>
        <w:t xml:space="preserve"/>
      </w:r>
    </w:p>
    <w:p>
      <w:pPr>
        <w:pBdr>
          <w:left w:val="single" w:color="C8730A" w:sz="16" w:space="8"/>
        </w:pBdr>
        <w:shd w:fill="FFF4E8" w:val="clear"/>
        <w:spacing w:after="160" w:before="160"/>
        <w:ind w:left="560" w:right="560"/>
      </w:pPr>
      <w:r>
        <w:rPr>
          <w:rFonts w:ascii="Arial" w:cs="Arial" w:eastAsia="Arial" w:hAnsi="Arial"/>
          <w:b/>
          <w:bCs/>
          <w:i/>
          <w:iCs/>
          <w:color w:val="C8730A"/>
          <w:sz w:val="22"/>
          <w:szCs w:val="22"/>
        </w:rPr>
        <w:t xml:space="preserve">A mechanism is a Work Transfer Function. The geometry defines the function. The load sets the boundary condition. The function determines everything else. There is nothing more.</w:t>
      </w:r>
    </w:p>
    <w:p>
      <w:pPr>
        <w:spacing w:after="60" w:before="60"/>
      </w:pPr>
      <w:r>
        <w:t xml:space="preserve"/>
      </w:r>
    </w:p>
    <w:p>
      <w:pPr>
        <w:spacing w:after="120" w:before="80"/>
      </w:pPr>
      <w:r>
        <w:rPr>
          <w:rFonts w:ascii="Arial" w:cs="Arial" w:eastAsia="Arial" w:hAnsi="Arial"/>
          <w:color w:val="444444"/>
          <w:sz w:val="22"/>
          <w:szCs w:val="22"/>
        </w:rPr>
        <w:t xml:space="preserve">The significance of this framework is not that it produces different answers from classical analysis — it does not. The significance is that it produces the correct answer more reliably, and that it changes what questions are asked first.</w:t>
      </w:r>
    </w:p>
    <w:p>
      <w:pPr>
        <w:spacing w:after="60" w:before="60"/>
      </w:pPr>
      <w:r>
        <w:t xml:space="preserve"/>
      </w:r>
    </w:p>
    <w:p>
      <w:pPr>
        <w:spacing w:after="120" w:before="80"/>
      </w:pPr>
      <w:r>
        <w:rPr>
          <w:rFonts w:ascii="Arial" w:cs="Arial" w:eastAsia="Arial" w:hAnsi="Arial"/>
          <w:color w:val="444444"/>
          <w:sz w:val="22"/>
          <w:szCs w:val="22"/>
        </w:rPr>
        <w:t xml:space="preserve">It also changes what gets dismissed and what gets explored. An unconventional mechanism that appears at first glance to violate conservation is not automatically wrong. It may simply be a geometry that has not yet been correctly read. The Work Transfer Function says: read the geometry first. Find the true moment arms. Identify the stationary reactions. Trace the displacements. Then check conservation — and it will balance.</w:t>
      </w:r>
    </w:p>
    <w:p>
      <w:pPr>
        <w:spacing w:after="60" w:before="60"/>
      </w:pPr>
      <w:r>
        <w:t xml:space="preserve"/>
      </w:r>
    </w:p>
    <w:p>
      <w:pPr>
        <w:spacing w:after="120" w:before="80"/>
      </w:pPr>
      <w:r>
        <w:rPr>
          <w:rFonts w:ascii="Arial" w:cs="Arial" w:eastAsia="Arial" w:hAnsi="Arial"/>
          <w:color w:val="444444"/>
          <w:sz w:val="22"/>
          <w:szCs w:val="22"/>
        </w:rPr>
        <w:t xml:space="preserve">Every mechanism that has ever worked — every gear train, every lever, every bent crank, every planetary system — was already a Work Transfer Function. The framework does not add anything to the physics. It adds clarity to the seeing.</w:t>
      </w:r>
    </w:p>
    <w:p>
      <w:pPr>
        <w:spacing w:after="60" w:before="60"/>
      </w:pPr>
      <w:r>
        <w:t xml:space="preserve"/>
      </w:r>
    </w:p>
    <w:p>
      <w:pPr>
        <w:spacing w:after="120" w:before="80"/>
      </w:pPr>
      <w:r>
        <w:rPr>
          <w:rFonts w:ascii="Arial" w:cs="Arial" w:eastAsia="Arial" w:hAnsi="Arial"/>
          <w:color w:val="444444"/>
          <w:sz w:val="22"/>
          <w:szCs w:val="22"/>
        </w:rPr>
        <w:t xml:space="preserve">The energy is already there. The geometry is already flowing. Choose your entry and exit points wisely. Nature does the rest.</w:t>
      </w:r>
    </w:p>
    <w:p>
      <w:pPr>
        <w:spacing w:after="60" w:before="60"/>
      </w:pPr>
      <w:r>
        <w:t xml:space="preserve"/>
      </w:r>
    </w:p>
    <w:p>
      <w:pPr>
        <w:pBdr>
          <w:bottom w:val="single" w:color="2E5FA3" w:sz="6" w:space="1"/>
        </w:pBdr>
        <w:spacing w:after="160" w:before="160"/>
      </w:pPr>
      <w:r>
        <w:t xml:space="preserve"/>
      </w:r>
    </w:p>
    <w:p>
      <w:pPr>
        <w:spacing w:after="60" w:before="60"/>
      </w:pPr>
      <w:r>
        <w:t xml:space="preserve"/>
      </w:r>
    </w:p>
    <w:p>
      <w:pPr>
        <w:spacing w:after="60" w:before="0"/>
        <w:jc w:val="center"/>
      </w:pPr>
      <w:r>
        <w:rPr>
          <w:rFonts w:ascii="Arial" w:cs="Arial" w:eastAsia="Arial" w:hAnsi="Arial"/>
          <w:i/>
          <w:iCs/>
          <w:color w:val="777777"/>
          <w:sz w:val="20"/>
          <w:szCs w:val="20"/>
        </w:rPr>
        <w:t xml:space="preserve">This document is offered freely to anyone who can use it.</w:t>
      </w:r>
    </w:p>
    <w:p>
      <w:pPr>
        <w:spacing w:after="60" w:before="0"/>
        <w:jc w:val="center"/>
      </w:pPr>
      <w:r>
        <w:rPr>
          <w:rFonts w:ascii="Arial" w:cs="Arial" w:eastAsia="Arial" w:hAnsi="Arial"/>
          <w:color w:val="777777"/>
          <w:sz w:val="20"/>
          <w:szCs w:val="20"/>
        </w:rPr>
        <w:t xml:space="preserve">April 2026</w:t>
      </w:r>
    </w:p>
    <w:sectPr>
      <w:footerReference w:type="default" r:id="rId7"/>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color w:val="777777"/>
        <w:sz w:val="18"/>
        <w:szCs w:val="18"/>
      </w:rPr>
      <w:t xml:space="preserve">The Work Transfer Function  |  Page </w:t>
    </w:r>
    <w:r>
      <w:rPr>
        <w:rFonts w:ascii="Arial" w:cs="Arial" w:eastAsia="Arial" w:hAnsi="Arial"/>
        <w:color w:val="777777"/>
        <w:sz w:val="18"/>
        <w:szCs w:val="18"/>
      </w:rPr>
      <w:fldSimple w:instr="PAG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abstractNum w:abstractNumId="3" w15:restartNumberingAfterBreak="0">
    <w:multiLevelType w:val="hybridMultilevel"/>
    <w:lvl w:ilvl="0" w15:tentative="1">
      <w:start w:val="1"/>
      <w:numFmt w:val="bullet"/>
      <w:lvlText w:val="◦"/>
      <w:lvlJc w:val="left"/>
      <w:pPr>
        <w:ind w:left="108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444444"/>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40" w:before="400"/>
      <w:outlineLvl w:val="0"/>
    </w:pPr>
    <w:rPr>
      <w:rFonts w:ascii="Arial" w:cs="Arial" w:eastAsia="Arial" w:hAnsi="Arial"/>
      <w:b/>
      <w:bCs/>
      <w:color w:val="1B3A6B"/>
      <w:sz w:val="34"/>
      <w:szCs w:val="34"/>
    </w:rPr>
  </w:style>
  <w:style w:type="paragraph" w:styleId="Heading2">
    <w:name w:val="Heading 2"/>
    <w:basedOn w:val="Normal"/>
    <w:next w:val="Normal"/>
    <w:qFormat/>
    <w:pPr>
      <w:spacing w:after="100" w:before="280"/>
      <w:outlineLvl w:val="1"/>
    </w:pPr>
    <w:rPr>
      <w:rFonts w:ascii="Arial" w:cs="Arial" w:eastAsia="Arial" w:hAnsi="Arial"/>
      <w:b/>
      <w:bCs/>
      <w:color w:val="2E5FA3"/>
      <w:sz w:val="26"/>
      <w:szCs w:val="2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2026-04-30T03:07:34.905Z</dcterms:created>
  <dcterms:modified xsi:type="dcterms:W3CDTF">2026-04-30T03:07:34.907Z</dcterms:modified>
</cp:coreProperties>
</file>

<file path=docProps/custom.xml><?xml version="1.0" encoding="utf-8"?>
<Properties xmlns="http://schemas.openxmlformats.org/officeDocument/2006/custom-properties" xmlns:vt="http://schemas.openxmlformats.org/officeDocument/2006/docPropsVTypes"/>
</file>